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0" w:line="600" w:lineRule="exact"/>
        <w:jc w:val="both"/>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lang w:eastAsia="zh-CN"/>
        </w:rPr>
        <w:t>2024年自治区</w:t>
      </w:r>
      <w:r>
        <w:rPr>
          <w:rFonts w:hint="eastAsia" w:ascii="黑体" w:hAnsi="黑体" w:eastAsia="黑体" w:cs="黑体"/>
          <w:b w:val="0"/>
          <w:bCs w:val="0"/>
          <w:sz w:val="32"/>
          <w:szCs w:val="32"/>
          <w:lang w:val="en-US" w:eastAsia="zh-CN"/>
        </w:rPr>
        <w:t>制造业智能化发展项目申报指南：</w:t>
      </w:r>
    </w:p>
    <w:p>
      <w:pPr>
        <w:overflowPunct w:val="0"/>
        <w:adjustRightInd w:val="0"/>
        <w:snapToGrid w:val="0"/>
        <w:spacing w:after="0" w:line="600" w:lineRule="exact"/>
        <w:jc w:val="both"/>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shd w:val="clear" w:color="auto" w:fill="auto"/>
          <w:lang w:eastAsia="zh-CN"/>
        </w:rPr>
      </w:pPr>
      <w:r>
        <w:rPr>
          <w:rFonts w:hint="eastAsia" w:ascii="方正小标宋简体" w:hAnsi="方正小标宋简体" w:eastAsia="方正小标宋简体" w:cs="方正小标宋简体"/>
          <w:sz w:val="44"/>
          <w:szCs w:val="44"/>
          <w:shd w:val="clear" w:color="auto" w:fill="auto"/>
        </w:rPr>
        <w:t>自治区</w:t>
      </w:r>
      <w:r>
        <w:rPr>
          <w:rFonts w:hint="eastAsia" w:ascii="方正小标宋简体" w:hAnsi="方正小标宋简体" w:eastAsia="方正小标宋简体" w:cs="方正小标宋简体"/>
          <w:sz w:val="44"/>
          <w:szCs w:val="44"/>
          <w:shd w:val="clear" w:color="auto" w:fill="auto"/>
          <w:lang w:eastAsia="zh-CN"/>
        </w:rPr>
        <w:t>制造业</w:t>
      </w:r>
      <w:r>
        <w:rPr>
          <w:rFonts w:hint="eastAsia" w:ascii="方正小标宋简体" w:hAnsi="方正小标宋简体" w:eastAsia="方正小标宋简体" w:cs="方正小标宋简体"/>
          <w:sz w:val="44"/>
          <w:szCs w:val="44"/>
          <w:shd w:val="clear" w:color="auto" w:fill="auto"/>
        </w:rPr>
        <w:t>数字化转型</w:t>
      </w:r>
      <w:r>
        <w:rPr>
          <w:rFonts w:hint="eastAsia" w:ascii="方正小标宋简体" w:hAnsi="方正小标宋简体" w:eastAsia="方正小标宋简体" w:cs="方正小标宋简体"/>
          <w:sz w:val="44"/>
          <w:szCs w:val="44"/>
          <w:shd w:val="clear" w:color="auto" w:fill="auto"/>
          <w:lang w:eastAsia="zh-CN"/>
        </w:rPr>
        <w:t>试点工作指南</w:t>
      </w:r>
    </w:p>
    <w:p>
      <w:pPr>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eastAsia"/>
          <w:lang w:val="en-US" w:eastAsia="zh-CN"/>
        </w:rPr>
      </w:pPr>
    </w:p>
    <w:p>
      <w:pPr>
        <w:keepNext w:val="0"/>
        <w:keepLines w:val="0"/>
        <w:pageBreakBefore w:val="0"/>
        <w:kinsoku/>
        <w:wordWrap/>
        <w:overflowPunct w:val="0"/>
        <w:topLinePunct w:val="0"/>
        <w:autoSpaceDE/>
        <w:autoSpaceDN/>
        <w:bidi w:val="0"/>
        <w:adjustRightInd w:val="0"/>
        <w:snapToGrid w:val="0"/>
        <w:spacing w:after="0" w:line="600" w:lineRule="exact"/>
        <w:ind w:firstLine="0" w:firstLineChars="0"/>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w:t>
      </w:r>
    </w:p>
    <w:p>
      <w:pPr>
        <w:rPr>
          <w:rFonts w:hint="eastAsia"/>
        </w:rPr>
      </w:pP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eastAsia="zh-CN"/>
        </w:rPr>
        <w:t>党的</w:t>
      </w:r>
      <w:r>
        <w:rPr>
          <w:rFonts w:hint="eastAsia" w:ascii="仿宋_GB2312" w:hAnsi="仿宋_GB2312" w:eastAsia="仿宋_GB2312" w:cs="仿宋_GB2312"/>
          <w:sz w:val="32"/>
          <w:szCs w:val="32"/>
        </w:rPr>
        <w:t>二十大</w:t>
      </w:r>
      <w:r>
        <w:rPr>
          <w:rFonts w:hint="eastAsia" w:ascii="仿宋_GB2312" w:hAnsi="仿宋_GB2312" w:eastAsia="仿宋_GB2312" w:cs="仿宋_GB2312"/>
          <w:sz w:val="32"/>
          <w:szCs w:val="32"/>
          <w:shd w:val="clear" w:color="auto" w:fill="auto"/>
          <w:lang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落实《内蒙古自治区人民政府关于促进制造业高端化、智能化、绿色化发展的意见》《内蒙古自治区工业数字化转型实施方案（2021-2025）》，</w:t>
      </w:r>
      <w:r>
        <w:rPr>
          <w:rFonts w:hint="eastAsia" w:ascii="仿宋_GB2312" w:hAnsi="仿宋_GB2312" w:eastAsia="仿宋_GB2312" w:cs="仿宋_GB2312"/>
          <w:sz w:val="32"/>
          <w:szCs w:val="32"/>
          <w:shd w:val="clear" w:color="auto" w:fill="auto"/>
          <w:lang w:eastAsia="zh-CN"/>
        </w:rPr>
        <w:t>开展自治区制造业数字化转型试点。</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numPr>
          <w:ilvl w:val="0"/>
          <w:numId w:val="1"/>
        </w:numPr>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2"/>
          <w:shd w:val="clear" w:color="auto" w:fill="auto"/>
          <w:lang w:val="en-US" w:eastAsia="zh-CN" w:bidi="ar-SA"/>
        </w:rPr>
        <w:t>（一）指导思想。</w:t>
      </w:r>
      <w:r>
        <w:rPr>
          <w:rFonts w:hint="eastAsia" w:ascii="仿宋_GB2312" w:hAnsi="仿宋_GB2312" w:eastAsia="仿宋_GB2312" w:cs="仿宋_GB2312"/>
          <w:sz w:val="32"/>
          <w:szCs w:val="32"/>
          <w:shd w:val="clear" w:color="auto" w:fill="auto"/>
          <w:lang w:val="en-US" w:eastAsia="zh-CN"/>
        </w:rPr>
        <w:t>以习近平新时代中国特色社会主义思想为指导，深入贯彻党的二十大和习近平总书记对内蒙古重要讲话重要指示精神，按照自治区促进制造业高端化、智能化、绿色化发展要求，聚焦重点产业集群产业链，找准数字化转型痛点难点，充分调动各盟市积极性，统筹各类要素资源，降低数字化转型成本，全面提升产业链数字化水平，促进制造业高质量发展。</w:t>
      </w:r>
    </w:p>
    <w:p>
      <w:pPr>
        <w:keepNext w:val="0"/>
        <w:keepLines w:val="0"/>
        <w:pageBreakBefore w:val="0"/>
        <w:numPr>
          <w:ilvl w:val="0"/>
          <w:numId w:val="1"/>
        </w:numPr>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楷体_GB2312" w:hAnsi="楷体_GB2312" w:eastAsia="楷体_GB2312" w:cs="楷体_GB2312"/>
          <w:b/>
          <w:bCs/>
          <w:color w:val="000000"/>
          <w:kern w:val="2"/>
          <w:sz w:val="32"/>
          <w:szCs w:val="32"/>
          <w:shd w:val="clear" w:color="auto" w:fill="auto"/>
          <w:lang w:val="en-US" w:eastAsia="zh-CN" w:bidi="ar-SA"/>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color w:val="000000"/>
          <w:kern w:val="2"/>
          <w:sz w:val="32"/>
          <w:szCs w:val="32"/>
          <w:shd w:val="clear" w:color="auto" w:fill="auto"/>
          <w:lang w:val="en-US" w:eastAsia="zh-CN" w:bidi="ar-SA"/>
        </w:rPr>
        <w:t>基本原则</w:t>
      </w:r>
    </w:p>
    <w:p>
      <w:pPr>
        <w:keepNext w:val="0"/>
        <w:keepLines w:val="0"/>
        <w:pageBreakBefore w:val="0"/>
        <w:widowControl w:val="0"/>
        <w:kinsoku/>
        <w:wordWrap/>
        <w:overflowPunct w:val="0"/>
        <w:topLinePunct w:val="0"/>
        <w:autoSpaceDE/>
        <w:autoSpaceDN/>
        <w:bidi w:val="0"/>
        <w:adjustRightInd w:val="0"/>
        <w:snapToGrid w:val="0"/>
        <w:spacing w:after="0" w:line="600" w:lineRule="exact"/>
        <w:ind w:firstLine="643" w:firstLineChars="200"/>
        <w:textAlignment w:val="auto"/>
        <w:rPr>
          <w:rFonts w:hint="eastAsia" w:ascii="仿宋_GB2312" w:hAnsi="仿宋_GB2312" w:eastAsia="仿宋_GB2312" w:cs="仿宋_GB2312"/>
          <w:b w:val="0"/>
          <w:bCs w:val="0"/>
          <w:color w:val="000000"/>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政府引导，企业主体。</w:t>
      </w:r>
      <w:r>
        <w:rPr>
          <w:rFonts w:hint="eastAsia" w:ascii="仿宋_GB2312" w:hAnsi="仿宋_GB2312" w:eastAsia="仿宋_GB2312" w:cs="仿宋_GB2312"/>
          <w:sz w:val="32"/>
          <w:szCs w:val="32"/>
          <w:lang w:val="en-US" w:eastAsia="zh-CN"/>
        </w:rPr>
        <w:t>以盟市为单位</w:t>
      </w:r>
      <w:r>
        <w:rPr>
          <w:rFonts w:hint="eastAsia" w:ascii="仿宋_GB2312" w:hAnsi="仿宋_GB2312" w:eastAsia="仿宋_GB2312" w:cs="仿宋_GB2312"/>
          <w:kern w:val="2"/>
          <w:sz w:val="32"/>
          <w:szCs w:val="32"/>
          <w:shd w:val="clear" w:color="auto" w:fill="auto"/>
          <w:lang w:val="en-US" w:eastAsia="zh-CN" w:bidi="ar-SA"/>
        </w:rPr>
        <w:t>、产业链为重点，开展数字化转型试点。充分发挥自治区重点产业专项资金引导作用，调动盟市政府推动数字化转型积极性。</w:t>
      </w:r>
      <w:r>
        <w:rPr>
          <w:rFonts w:hint="eastAsia" w:ascii="仿宋_GB2312" w:hAnsi="仿宋_GB2312" w:eastAsia="仿宋_GB2312" w:cs="仿宋_GB2312"/>
          <w:sz w:val="32"/>
          <w:szCs w:val="32"/>
          <w:lang w:val="en-US" w:eastAsia="zh-CN"/>
        </w:rPr>
        <w:t>强化企业在</w:t>
      </w:r>
      <w:r>
        <w:rPr>
          <w:rFonts w:hint="eastAsia" w:ascii="仿宋_GB2312" w:hAnsi="仿宋_GB2312" w:eastAsia="仿宋_GB2312" w:cs="仿宋_GB2312"/>
          <w:kern w:val="2"/>
          <w:sz w:val="32"/>
          <w:szCs w:val="32"/>
          <w:shd w:val="clear" w:color="auto" w:fill="auto"/>
          <w:lang w:val="en-US" w:eastAsia="zh-CN" w:bidi="ar-SA"/>
        </w:rPr>
        <w:t>数字化转型工作中的主体地位，激发企业创造力。</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仿宋_GB2312" w:hAnsi="仿宋_GB2312" w:eastAsia="仿宋_GB2312" w:cs="仿宋_GB2312"/>
          <w:b/>
          <w:bCs/>
          <w:color w:val="000000"/>
          <w:kern w:val="0"/>
          <w:sz w:val="32"/>
          <w:szCs w:val="32"/>
          <w:shd w:val="clear" w:color="auto" w:fill="auto"/>
          <w:lang w:val="en-US" w:eastAsia="zh-CN" w:bidi="ar-SA"/>
        </w:rPr>
        <w:t>问题导向，注重实效。</w:t>
      </w:r>
      <w:r>
        <w:rPr>
          <w:rFonts w:hint="eastAsia" w:ascii="仿宋_GB2312" w:hAnsi="仿宋_GB2312" w:eastAsia="仿宋_GB2312" w:cs="仿宋_GB2312"/>
          <w:kern w:val="2"/>
          <w:sz w:val="32"/>
          <w:szCs w:val="32"/>
          <w:shd w:val="clear" w:color="auto" w:fill="auto"/>
          <w:lang w:val="en-US" w:eastAsia="zh-CN" w:bidi="ar-SA"/>
        </w:rPr>
        <w:t>聚焦制造业数字化转型的痛点难点，围绕提质、增效、降本、安全目标，提升数字化转型服务供给能力，降低企业转型成本，确保数字化转型取得实效，不断提升产业链整体竞争力。</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仿宋_GB2312" w:hAnsi="仿宋_GB2312" w:eastAsia="仿宋_GB2312" w:cs="仿宋_GB2312"/>
          <w:b/>
          <w:bCs/>
          <w:color w:val="000000"/>
          <w:kern w:val="0"/>
          <w:sz w:val="32"/>
          <w:szCs w:val="32"/>
          <w:shd w:val="clear" w:color="auto" w:fill="auto"/>
          <w:lang w:val="en-US" w:eastAsia="zh-CN" w:bidi="ar-SA"/>
        </w:rPr>
        <w:t>试点先行，示范推广。</w:t>
      </w:r>
      <w:r>
        <w:rPr>
          <w:rFonts w:hint="eastAsia" w:ascii="仿宋_GB2312" w:hAnsi="仿宋_GB2312" w:eastAsia="仿宋_GB2312" w:cs="仿宋_GB2312"/>
          <w:kern w:val="2"/>
          <w:sz w:val="32"/>
          <w:szCs w:val="32"/>
          <w:shd w:val="clear" w:color="auto" w:fill="auto"/>
          <w:lang w:val="en-US" w:eastAsia="zh-CN" w:bidi="ar-SA"/>
        </w:rPr>
        <w:t>鼓励试点盟市先行先试，探索制造业数字化转型的有效模式，形成可复制可推广的经验，因地制宜、循序渐进开展示范推广，放大规模效应，提升政策效应。</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outlineLvl w:val="1"/>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（三）主要目标。</w:t>
      </w:r>
      <w:r>
        <w:rPr>
          <w:rFonts w:hint="eastAsia" w:ascii="仿宋_GB2312" w:hAnsi="仿宋_GB2312" w:eastAsia="仿宋_GB2312" w:cs="仿宋_GB2312"/>
          <w:kern w:val="2"/>
          <w:sz w:val="32"/>
          <w:szCs w:val="32"/>
          <w:shd w:val="clear" w:color="auto" w:fill="auto"/>
          <w:lang w:val="en-US" w:eastAsia="zh-CN" w:bidi="ar-SA"/>
        </w:rPr>
        <w:t>通过开展试点，探索形成制造业数字化转型的方法路径、市场机制和典型模式，每条重点产业链打造一个工业互联网平台，完成一批企业数字化改造，形成几个行业数字化标杆企业和“小灯塔”企业，培育一批数字化服务商，形成一批数字化解决方案、产品和标准，促进产业链数据融通，构建数字化生态体系。通过示范带动、看样学样、复制推广，加快数字化转型。</w:t>
      </w:r>
    </w:p>
    <w:p>
      <w:pPr>
        <w:pStyle w:val="11"/>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outlineLvl w:val="1"/>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（四）支持对象。</w:t>
      </w:r>
      <w:r>
        <w:rPr>
          <w:rFonts w:hint="eastAsia" w:ascii="仿宋_GB2312" w:hAnsi="仿宋_GB2312" w:eastAsia="仿宋_GB2312" w:cs="仿宋_GB2312"/>
          <w:kern w:val="2"/>
          <w:sz w:val="32"/>
          <w:szCs w:val="32"/>
          <w:shd w:val="clear" w:color="auto" w:fill="auto"/>
          <w:lang w:val="en-US" w:eastAsia="zh-CN" w:bidi="ar-SA"/>
        </w:rPr>
        <w:t>以盟市作为试点单位，优先选择基础条件好、改造潜力大、示范带动作用强、实施方案切实可行的重点产业链开展试点，2024年选择3-5个盟市，以后年度视情况逐步扩大试点范围。</w:t>
      </w:r>
    </w:p>
    <w:p>
      <w:pPr>
        <w:pStyle w:val="11"/>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outlineLvl w:val="1"/>
        <w:rPr>
          <w:rFonts w:hint="eastAsia" w:ascii="黑体" w:hAnsi="黑体" w:eastAsia="黑体" w:cs="黑体"/>
          <w:color w:val="000000"/>
          <w:sz w:val="32"/>
          <w:szCs w:val="32"/>
          <w:shd w:val="clear" w:color="auto" w:fill="auto"/>
        </w:rPr>
      </w:pPr>
      <w:r>
        <w:rPr>
          <w:rFonts w:hint="eastAsia" w:ascii="黑体" w:hAnsi="黑体" w:eastAsia="黑体" w:cs="黑体"/>
          <w:kern w:val="2"/>
          <w:sz w:val="32"/>
          <w:szCs w:val="32"/>
          <w:shd w:val="clear" w:color="auto" w:fill="auto"/>
          <w:lang w:val="en-US" w:eastAsia="zh-CN" w:bidi="ar-SA"/>
        </w:rPr>
        <w:t>二、</w:t>
      </w:r>
      <w:r>
        <w:rPr>
          <w:rFonts w:hint="eastAsia" w:ascii="黑体" w:hAnsi="黑体" w:eastAsia="黑体" w:cs="黑体"/>
          <w:color w:val="000000"/>
          <w:sz w:val="32"/>
          <w:szCs w:val="32"/>
          <w:shd w:val="clear" w:color="auto" w:fill="auto"/>
        </w:rPr>
        <w:t>支持内容</w:t>
      </w:r>
    </w:p>
    <w:p>
      <w:pPr>
        <w:keepNext w:val="0"/>
        <w:keepLines w:val="0"/>
        <w:pageBreakBefore w:val="0"/>
        <w:widowControl w:val="0"/>
        <w:kinsoku/>
        <w:wordWrap/>
        <w:overflowPunct w:val="0"/>
        <w:topLinePunct w:val="0"/>
        <w:autoSpaceDE/>
        <w:autoSpaceDN/>
        <w:bidi w:val="0"/>
        <w:adjustRightInd w:val="0"/>
        <w:snapToGrid w:val="0"/>
        <w:spacing w:beforeAutospacing="0" w:after="0" w:afterAutospacing="0" w:line="580" w:lineRule="exact"/>
        <w:ind w:firstLine="643" w:firstLineChars="200"/>
        <w:jc w:val="both"/>
        <w:textAlignment w:val="auto"/>
        <w:rPr>
          <w:rFonts w:hint="eastAsia" w:ascii="仿宋_GB2312" w:hAnsi="仿宋_GB2312" w:eastAsia="仿宋_GB2312" w:cs="仿宋_GB2312"/>
          <w:sz w:val="32"/>
          <w:szCs w:val="32"/>
          <w:shd w:val="clear" w:color="auto" w:fill="auto"/>
          <w:lang w:eastAsia="zh-CN"/>
        </w:rPr>
      </w:pPr>
      <w:r>
        <w:rPr>
          <w:rFonts w:hint="eastAsia" w:ascii="楷体_GB2312" w:hAnsi="楷体_GB2312" w:eastAsia="楷体_GB2312" w:cs="楷体_GB2312"/>
          <w:b/>
          <w:bCs/>
          <w:color w:val="000000"/>
          <w:kern w:val="0"/>
          <w:sz w:val="32"/>
          <w:szCs w:val="32"/>
          <w:shd w:val="clear" w:color="auto" w:fill="auto"/>
          <w:lang w:val="en-US" w:eastAsia="zh-CN" w:bidi="ar-SA"/>
        </w:rPr>
        <w:t>（一）加强工业互联网平台建设。</w:t>
      </w:r>
      <w:r>
        <w:rPr>
          <w:rFonts w:hint="eastAsia" w:ascii="仿宋_GB2312" w:hAnsi="仿宋_GB2312" w:eastAsia="仿宋_GB2312" w:cs="仿宋_GB2312"/>
          <w:kern w:val="2"/>
          <w:sz w:val="32"/>
          <w:szCs w:val="32"/>
          <w:shd w:val="clear" w:color="auto" w:fill="auto"/>
          <w:lang w:val="en-US" w:eastAsia="zh-CN" w:bidi="ar-SA"/>
        </w:rPr>
        <w:t>支持试点盟市围绕重点产业链，依托链主企业、龙头企业或数字化服务商，建设或改造升级工业互联网平台，健全服务功能，提升服务能力，推动上下游企业上云用数赋智，构建数字化生态，降低产业链数字化转型成本。</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（二）加快企业数字化改造。</w:t>
      </w:r>
      <w:r>
        <w:rPr>
          <w:rFonts w:hint="eastAsia" w:ascii="仿宋_GB2312" w:hAnsi="仿宋_GB2312" w:eastAsia="仿宋_GB2312" w:cs="仿宋_GB2312"/>
          <w:kern w:val="2"/>
          <w:sz w:val="32"/>
          <w:szCs w:val="32"/>
          <w:shd w:val="clear" w:color="auto" w:fill="auto"/>
          <w:lang w:val="en-US" w:eastAsia="zh-CN" w:bidi="ar-SA"/>
        </w:rPr>
        <w:t>支持试点盟市选择重点产业链相关企业，梳理产业链共性和企业个性需求，采取市场化手段公开遴选数字化服务商，支持数字化服务商为改造企业提供诊断、咨询等服务，开发集成小型化、快速化、轻量化、精准化的数字化服务和产品，供企业自愿选择，开展数字化改造。同时，总结集成通用性强、效果好的数字化解决方案，推动跨地区复制推广，放大政策效果。</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（三）提高技术创新水平。</w:t>
      </w:r>
      <w:r>
        <w:rPr>
          <w:rFonts w:hint="eastAsia" w:ascii="仿宋_GB2312" w:hAnsi="仿宋_GB2312" w:eastAsia="仿宋_GB2312" w:cs="仿宋_GB2312"/>
          <w:kern w:val="2"/>
          <w:sz w:val="32"/>
          <w:szCs w:val="32"/>
          <w:shd w:val="clear" w:color="auto" w:fill="auto"/>
          <w:lang w:val="en-US" w:eastAsia="zh-CN" w:bidi="ar-SA"/>
        </w:rPr>
        <w:t>支持试点盟市围绕数字化转型加大技术、人才等各类创新要素供给，引导企业进一步加大创新投入，实现从基础数字化应用逐步向生产制造等关键环节延伸，促进企业全要素、全过程的资源整合与业务协同，全面优化生产方式、业务模式、管理水平，提升核心竞争力。</w:t>
      </w:r>
    </w:p>
    <w:p>
      <w:pPr>
        <w:keepNext w:val="0"/>
        <w:keepLines w:val="0"/>
        <w:pageBreakBefore w:val="0"/>
        <w:kinsoku/>
        <w:wordWrap/>
        <w:overflowPunct w:val="0"/>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（四）加强产业链合作。</w:t>
      </w:r>
      <w:r>
        <w:rPr>
          <w:rFonts w:hint="eastAsia" w:ascii="仿宋_GB2312" w:hAnsi="仿宋_GB2312" w:eastAsia="仿宋_GB2312" w:cs="仿宋_GB2312"/>
          <w:kern w:val="2"/>
          <w:sz w:val="32"/>
          <w:szCs w:val="32"/>
          <w:shd w:val="clear" w:color="auto" w:fill="auto"/>
          <w:lang w:val="en-US" w:eastAsia="zh-CN" w:bidi="ar-SA"/>
        </w:rPr>
        <w:t>支持链主企业、龙头企业、中小企业间加强合作，利用链主企业、龙头企业的平台能力和数据基础，实现订单、设计、生产、供应链等多方面协同。鼓励链主企业、龙头企业通过产业纽带、聚集孵化、上下游配套、开放应用场景和技术扩散等方式赋能中小企业，助力中小企业加速核心业务环节的数字化转型升级，推动产业链整体数字化转型，提升延链强链补链能力。</w:t>
      </w:r>
    </w:p>
    <w:p>
      <w:pPr>
        <w:keepNext w:val="0"/>
        <w:keepLines w:val="0"/>
        <w:pageBreakBefore w:val="0"/>
        <w:widowControl w:val="0"/>
        <w:kinsoku/>
        <w:wordWrap/>
        <w:overflowPunct w:val="0"/>
        <w:topLinePunct w:val="0"/>
        <w:autoSpaceDE/>
        <w:autoSpaceDN/>
        <w:bidi w:val="0"/>
        <w:adjustRightInd w:val="0"/>
        <w:snapToGrid w:val="0"/>
        <w:spacing w:beforeAutospacing="0" w:after="0" w:afterAutospacing="0" w:line="580" w:lineRule="exact"/>
        <w:ind w:firstLine="640" w:firstLineChars="200"/>
        <w:jc w:val="both"/>
        <w:textAlignment w:val="auto"/>
        <w:outlineLvl w:val="0"/>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三、工作要求</w:t>
      </w:r>
    </w:p>
    <w:p>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（一）优选重点</w:t>
      </w:r>
      <w:r>
        <w:rPr>
          <w:rFonts w:hint="eastAsia" w:ascii="楷体_GB2312" w:hAnsi="楷体_GB2312" w:eastAsia="楷体_GB2312" w:cs="楷体_GB2312"/>
          <w:b/>
          <w:bCs/>
          <w:color w:val="000000"/>
          <w:kern w:val="0"/>
          <w:sz w:val="32"/>
          <w:szCs w:val="32"/>
          <w:shd w:val="clear" w:color="auto" w:fill="auto"/>
          <w:lang w:val="en-US" w:bidi="ar-SA"/>
        </w:rPr>
        <w:t>产业链</w:t>
      </w:r>
      <w:r>
        <w:rPr>
          <w:rFonts w:hint="eastAsia" w:ascii="楷体_GB2312" w:hAnsi="楷体_GB2312" w:eastAsia="楷体_GB2312" w:cs="楷体_GB2312"/>
          <w:b/>
          <w:bCs/>
          <w:color w:val="000000"/>
          <w:kern w:val="0"/>
          <w:sz w:val="32"/>
          <w:szCs w:val="32"/>
          <w:shd w:val="clear" w:color="auto" w:fill="auto"/>
          <w:lang w:val="en-US" w:eastAsia="zh-CN" w:bidi="ar-SA"/>
        </w:rPr>
        <w:t>。</w:t>
      </w:r>
      <w:r>
        <w:rPr>
          <w:rFonts w:hint="eastAsia" w:ascii="仿宋_GB2312" w:hAnsi="仿宋_GB2312" w:eastAsia="仿宋_GB2312" w:cs="仿宋_GB2312"/>
          <w:kern w:val="2"/>
          <w:sz w:val="32"/>
          <w:szCs w:val="32"/>
          <w:shd w:val="clear" w:color="auto" w:fill="auto"/>
          <w:lang w:val="en-US" w:eastAsia="zh-CN" w:bidi="ar-SA"/>
        </w:rPr>
        <w:t>试点盟市立足自身产业基础和优势特色，至少</w:t>
      </w:r>
      <w:r>
        <w:rPr>
          <w:rFonts w:hint="eastAsia" w:ascii="仿宋_GB2312" w:hAnsi="仿宋_GB2312" w:eastAsia="仿宋_GB2312" w:cs="仿宋_GB2312"/>
          <w:kern w:val="2"/>
          <w:sz w:val="32"/>
          <w:szCs w:val="32"/>
          <w:shd w:val="clear" w:color="auto" w:fill="auto"/>
          <w:lang w:val="en-US" w:bidi="ar-SA"/>
        </w:rPr>
        <w:t>选择</w:t>
      </w:r>
      <w:r>
        <w:rPr>
          <w:rFonts w:hint="eastAsia" w:ascii="仿宋_GB2312" w:hAnsi="仿宋_GB2312" w:eastAsia="仿宋_GB2312" w:cs="仿宋_GB2312"/>
          <w:kern w:val="2"/>
          <w:sz w:val="32"/>
          <w:szCs w:val="32"/>
          <w:shd w:val="clear" w:color="auto" w:fill="auto"/>
          <w:lang w:val="en-US" w:eastAsia="zh-CN" w:bidi="ar-SA"/>
        </w:rPr>
        <w:t>一条规模较大、企业集聚度高的</w:t>
      </w:r>
      <w:r>
        <w:rPr>
          <w:rFonts w:hint="eastAsia" w:ascii="仿宋_GB2312" w:hAnsi="仿宋_GB2312" w:eastAsia="仿宋_GB2312" w:cs="仿宋_GB2312"/>
          <w:kern w:val="2"/>
          <w:sz w:val="32"/>
          <w:szCs w:val="32"/>
          <w:shd w:val="clear" w:color="auto" w:fill="auto"/>
          <w:lang w:val="en-US" w:bidi="ar-SA"/>
        </w:rPr>
        <w:t>产业链</w:t>
      </w:r>
      <w:r>
        <w:rPr>
          <w:rFonts w:hint="eastAsia" w:ascii="仿宋_GB2312" w:hAnsi="仿宋_GB2312" w:eastAsia="仿宋_GB2312" w:cs="仿宋_GB2312"/>
          <w:kern w:val="2"/>
          <w:sz w:val="32"/>
          <w:szCs w:val="32"/>
          <w:shd w:val="clear" w:color="auto" w:fill="auto"/>
          <w:lang w:val="en-US" w:eastAsia="zh-CN" w:bidi="ar-SA"/>
        </w:rPr>
        <w:t>作为转型</w:t>
      </w:r>
      <w:r>
        <w:rPr>
          <w:rFonts w:hint="eastAsia" w:ascii="仿宋_GB2312" w:hAnsi="仿宋_GB2312" w:eastAsia="仿宋_GB2312" w:cs="仿宋_GB2312"/>
          <w:kern w:val="2"/>
          <w:sz w:val="32"/>
          <w:szCs w:val="32"/>
          <w:shd w:val="clear" w:color="auto" w:fill="auto"/>
          <w:lang w:val="en-US" w:bidi="ar-SA"/>
        </w:rPr>
        <w:t>试点</w:t>
      </w:r>
      <w:r>
        <w:rPr>
          <w:rFonts w:hint="eastAsia" w:ascii="仿宋_GB2312" w:hAnsi="仿宋_GB2312" w:eastAsia="仿宋_GB2312" w:cs="仿宋_GB2312"/>
          <w:kern w:val="2"/>
          <w:sz w:val="32"/>
          <w:szCs w:val="32"/>
          <w:shd w:val="clear" w:color="auto" w:fill="auto"/>
          <w:lang w:val="en-US" w:eastAsia="zh-CN" w:bidi="ar-SA"/>
        </w:rPr>
        <w:t>的重点方向，向自</w:t>
      </w:r>
      <w:r>
        <w:rPr>
          <w:rFonts w:hint="eastAsia" w:ascii="仿宋_GB2312" w:hAnsi="仿宋_GB2312" w:eastAsia="仿宋_GB2312" w:cs="仿宋_GB2312"/>
          <w:kern w:val="2"/>
          <w:sz w:val="32"/>
          <w:szCs w:val="32"/>
          <w:shd w:val="clear" w:color="auto" w:fill="auto"/>
          <w:lang w:val="en-US" w:bidi="ar-SA"/>
        </w:rPr>
        <w:t>治区重点产业链</w:t>
      </w:r>
      <w:r>
        <w:rPr>
          <w:rFonts w:hint="eastAsia" w:ascii="仿宋_GB2312" w:hAnsi="仿宋_GB2312" w:eastAsia="仿宋_GB2312" w:cs="仿宋_GB2312"/>
          <w:kern w:val="2"/>
          <w:sz w:val="32"/>
          <w:szCs w:val="32"/>
          <w:shd w:val="clear" w:color="auto" w:fill="auto"/>
          <w:lang w:val="en-US" w:eastAsia="zh-CN" w:bidi="ar-SA"/>
        </w:rPr>
        <w:t>倾斜。</w:t>
      </w:r>
    </w:p>
    <w:p>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firstLine="64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（二）确定改造企业。</w:t>
      </w:r>
      <w:r>
        <w:rPr>
          <w:rFonts w:hint="eastAsia" w:ascii="仿宋_GB2312" w:hAnsi="仿宋_GB2312" w:eastAsia="仿宋_GB2312" w:cs="仿宋_GB2312"/>
          <w:kern w:val="2"/>
          <w:sz w:val="32"/>
          <w:szCs w:val="32"/>
          <w:shd w:val="clear" w:color="auto" w:fill="auto"/>
          <w:lang w:val="en-US" w:eastAsia="zh-CN" w:bidi="ar-SA"/>
        </w:rPr>
        <w:t>试点盟市要在确定的</w:t>
      </w:r>
      <w:r>
        <w:rPr>
          <w:rFonts w:hint="eastAsia" w:ascii="仿宋_GB2312" w:hAnsi="仿宋_GB2312" w:eastAsia="仿宋_GB2312" w:cs="仿宋_GB2312"/>
          <w:kern w:val="2"/>
          <w:sz w:val="32"/>
          <w:szCs w:val="32"/>
          <w:shd w:val="clear" w:color="auto" w:fill="auto"/>
          <w:lang w:val="en-US" w:bidi="ar-SA"/>
        </w:rPr>
        <w:t>重点产业链</w:t>
      </w:r>
      <w:r>
        <w:rPr>
          <w:rFonts w:hint="eastAsia" w:ascii="仿宋_GB2312" w:hAnsi="仿宋_GB2312" w:eastAsia="仿宋_GB2312" w:cs="仿宋_GB2312"/>
          <w:kern w:val="2"/>
          <w:sz w:val="32"/>
          <w:szCs w:val="32"/>
          <w:shd w:val="clear" w:color="auto" w:fill="auto"/>
          <w:lang w:val="en-US" w:eastAsia="zh-CN" w:bidi="ar-SA"/>
        </w:rPr>
        <w:t>中，选择处于产业链关键环节的企业作为数字化改造的重点对象，特别是要优先将数字化转型需求迫切、发展潜力巨大、经济社会效益明显的企业纳入改造范围，数字化改造企业数量不少于100户，实施期内</w:t>
      </w:r>
      <w:r>
        <w:rPr>
          <w:rFonts w:hint="eastAsia" w:ascii="仿宋_GB2312" w:hAnsi="仿宋_GB2312" w:eastAsia="仿宋_GB2312" w:cs="仿宋_GB2312"/>
          <w:kern w:val="2"/>
          <w:sz w:val="32"/>
          <w:szCs w:val="32"/>
          <w:shd w:val="clear" w:color="auto" w:fill="auto"/>
          <w:lang w:val="en-US" w:bidi="ar-SA"/>
        </w:rPr>
        <w:t>产业链</w:t>
      </w:r>
      <w:r>
        <w:rPr>
          <w:rFonts w:hint="eastAsia" w:ascii="仿宋_GB2312" w:hAnsi="仿宋_GB2312" w:eastAsia="仿宋_GB2312" w:cs="仿宋_GB2312"/>
          <w:kern w:val="2"/>
          <w:sz w:val="32"/>
          <w:szCs w:val="32"/>
          <w:shd w:val="clear" w:color="auto" w:fill="auto"/>
          <w:lang w:val="en-US" w:eastAsia="zh-CN" w:bidi="ar-SA"/>
        </w:rPr>
        <w:t>规</w:t>
      </w:r>
      <w:r>
        <w:rPr>
          <w:rFonts w:hint="eastAsia" w:ascii="仿宋_GB2312" w:hAnsi="仿宋_GB2312" w:eastAsia="仿宋_GB2312" w:cs="仿宋_GB2312"/>
          <w:kern w:val="2"/>
          <w:sz w:val="32"/>
          <w:szCs w:val="32"/>
          <w:shd w:val="clear" w:color="auto" w:fill="auto"/>
          <w:lang w:val="en-US" w:bidi="ar-SA"/>
        </w:rPr>
        <w:t>上</w:t>
      </w:r>
      <w:r>
        <w:rPr>
          <w:rFonts w:hint="eastAsia" w:ascii="仿宋_GB2312" w:hAnsi="仿宋_GB2312" w:eastAsia="仿宋_GB2312" w:cs="仿宋_GB2312"/>
          <w:kern w:val="2"/>
          <w:sz w:val="32"/>
          <w:szCs w:val="32"/>
          <w:shd w:val="clear" w:color="auto" w:fill="auto"/>
          <w:lang w:val="en-US" w:eastAsia="zh-CN" w:bidi="ar-SA"/>
        </w:rPr>
        <w:t>企业“应改尽改”、规下企业“愿改尽改”。</w:t>
      </w:r>
    </w:p>
    <w:p>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firstLine="64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eastAsia="zh-CN" w:bidi="ar-SA"/>
        </w:rPr>
        <w:t>（</w:t>
      </w:r>
      <w:r>
        <w:rPr>
          <w:rFonts w:hint="eastAsia" w:ascii="楷体_GB2312" w:hAnsi="楷体_GB2312" w:eastAsia="楷体_GB2312" w:cs="楷体_GB2312"/>
          <w:b/>
          <w:bCs/>
          <w:color w:val="000000"/>
          <w:kern w:val="0"/>
          <w:sz w:val="32"/>
          <w:szCs w:val="32"/>
          <w:shd w:val="clear" w:color="auto" w:fill="auto"/>
          <w:lang w:val="en-US" w:bidi="ar-SA"/>
        </w:rPr>
        <w:t>三</w:t>
      </w:r>
      <w:r>
        <w:rPr>
          <w:rFonts w:hint="eastAsia" w:ascii="楷体_GB2312" w:hAnsi="楷体_GB2312" w:eastAsia="楷体_GB2312" w:cs="楷体_GB2312"/>
          <w:b/>
          <w:bCs/>
          <w:color w:val="000000"/>
          <w:kern w:val="0"/>
          <w:sz w:val="32"/>
          <w:szCs w:val="32"/>
          <w:shd w:val="clear" w:color="auto" w:fill="auto"/>
          <w:lang w:eastAsia="zh-CN" w:bidi="ar-SA"/>
        </w:rPr>
        <w:t>）</w:t>
      </w:r>
      <w:r>
        <w:rPr>
          <w:rFonts w:hint="eastAsia" w:ascii="楷体_GB2312" w:hAnsi="楷体_GB2312" w:eastAsia="楷体_GB2312" w:cs="楷体_GB2312"/>
          <w:b/>
          <w:bCs/>
          <w:color w:val="000000"/>
          <w:kern w:val="0"/>
          <w:sz w:val="32"/>
          <w:szCs w:val="32"/>
          <w:shd w:val="clear" w:color="auto" w:fill="auto"/>
          <w:lang w:val="en-US" w:eastAsia="zh-CN" w:bidi="ar-SA"/>
        </w:rPr>
        <w:t>优选服务商。</w:t>
      </w:r>
      <w:r>
        <w:rPr>
          <w:rFonts w:hint="eastAsia" w:ascii="仿宋_GB2312" w:hAnsi="仿宋_GB2312" w:eastAsia="仿宋_GB2312" w:cs="仿宋_GB2312"/>
          <w:kern w:val="2"/>
          <w:sz w:val="32"/>
          <w:szCs w:val="32"/>
          <w:shd w:val="clear" w:color="auto" w:fill="auto"/>
          <w:lang w:val="en-US" w:eastAsia="zh-CN" w:bidi="ar-SA"/>
        </w:rPr>
        <w:t>试点盟市结合</w:t>
      </w:r>
      <w:r>
        <w:rPr>
          <w:rFonts w:hint="eastAsia" w:ascii="仿宋_GB2312" w:hAnsi="仿宋_GB2312" w:eastAsia="仿宋_GB2312" w:cs="仿宋_GB2312"/>
          <w:kern w:val="2"/>
          <w:sz w:val="32"/>
          <w:szCs w:val="32"/>
          <w:shd w:val="clear" w:color="auto" w:fill="auto"/>
          <w:lang w:val="en-US" w:bidi="ar-SA"/>
        </w:rPr>
        <w:t>产业链企业</w:t>
      </w:r>
      <w:r>
        <w:rPr>
          <w:rFonts w:hint="eastAsia" w:ascii="仿宋_GB2312" w:hAnsi="仿宋_GB2312" w:eastAsia="仿宋_GB2312" w:cs="仿宋_GB2312"/>
          <w:kern w:val="2"/>
          <w:sz w:val="32"/>
          <w:szCs w:val="32"/>
          <w:shd w:val="clear" w:color="auto" w:fill="auto"/>
          <w:lang w:val="en-US" w:eastAsia="zh-CN" w:bidi="ar-SA"/>
        </w:rPr>
        <w:t>数字化改造的共性特点和个性需求，通过公开招投标方式选择数字化转型服务商，供企业自主选择。服务商应具有良好的行业知识积累、数字化改造实施能力和较为完善的行业服务生态，有相关领域的成功案例且能够持续稳定提供高质量服务。</w:t>
      </w:r>
    </w:p>
    <w:p>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firstLine="64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楷体_GB2312" w:hAnsi="楷体_GB2312" w:eastAsia="楷体_GB2312" w:cs="楷体_GB2312"/>
          <w:b/>
          <w:bCs/>
          <w:color w:val="000000"/>
          <w:kern w:val="0"/>
          <w:sz w:val="32"/>
          <w:szCs w:val="32"/>
          <w:shd w:val="clear" w:color="auto" w:fill="auto"/>
          <w:lang w:val="en-US" w:eastAsia="zh-CN" w:bidi="ar-SA"/>
        </w:rPr>
        <w:t>（四）强化政策保障。</w:t>
      </w:r>
      <w:r>
        <w:rPr>
          <w:rFonts w:hint="eastAsia" w:ascii="仿宋_GB2312" w:hAnsi="仿宋_GB2312" w:eastAsia="仿宋_GB2312" w:cs="仿宋_GB2312"/>
          <w:kern w:val="2"/>
          <w:sz w:val="32"/>
          <w:szCs w:val="32"/>
          <w:shd w:val="clear" w:color="auto" w:fill="auto"/>
          <w:lang w:val="en-US" w:eastAsia="zh-CN" w:bidi="ar-SA"/>
        </w:rPr>
        <w:t>试点盟市要完善工作机制，出台切实有效的配套支持政策，提升政策宣传、资源对接、评估诊断、平台支撑等公共服务能力，强化人才培训、金融支持、安全保障等各领域支撑。加强财政、金融政策联动，引导金融机构加大数字化转型支持力度。</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（五）做好总结推广。</w:t>
      </w:r>
      <w:r>
        <w:rPr>
          <w:rFonts w:hint="eastAsia" w:ascii="仿宋_GB2312" w:hAnsi="仿宋_GB2312" w:eastAsia="仿宋_GB2312" w:cs="仿宋_GB2312"/>
          <w:kern w:val="2"/>
          <w:sz w:val="32"/>
          <w:szCs w:val="32"/>
          <w:shd w:val="clear" w:color="auto" w:fill="auto"/>
          <w:lang w:val="en-US" w:eastAsia="zh-CN" w:bidi="ar-SA"/>
        </w:rPr>
        <w:t>试点盟市完成数字化改造工作后，由</w:t>
      </w:r>
      <w:r>
        <w:rPr>
          <w:rFonts w:hint="eastAsia" w:ascii="仿宋_GB2312" w:hAnsi="仿宋_GB2312" w:eastAsia="仿宋_GB2312" w:cs="仿宋_GB2312"/>
          <w:kern w:val="2"/>
          <w:sz w:val="32"/>
          <w:szCs w:val="32"/>
          <w:shd w:val="clear" w:color="auto" w:fill="auto"/>
          <w:lang w:val="en-US" w:bidi="ar-SA"/>
        </w:rPr>
        <w:t>工信</w:t>
      </w:r>
      <w:r>
        <w:rPr>
          <w:rFonts w:hint="eastAsia" w:ascii="仿宋_GB2312" w:hAnsi="仿宋_GB2312" w:eastAsia="仿宋_GB2312" w:cs="仿宋_GB2312"/>
          <w:kern w:val="2"/>
          <w:sz w:val="32"/>
          <w:szCs w:val="32"/>
          <w:shd w:val="clear" w:color="auto" w:fill="auto"/>
          <w:lang w:val="en-US" w:eastAsia="zh-CN" w:bidi="ar-SA"/>
        </w:rPr>
        <w:t>部门牵头组织进行验收，科学评价改造成效，并总结平台建设、数字化改造、数据融通、管理体制机制等方面经验，因地制宜、循序渐进开展复制推广。</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黑体" w:hAnsi="黑体" w:eastAsia="黑体" w:cs="黑体"/>
          <w:sz w:val="32"/>
          <w:szCs w:val="32"/>
          <w:shd w:val="clear" w:color="auto" w:fill="auto"/>
          <w:lang w:eastAsia="zh-CN"/>
        </w:rPr>
      </w:pPr>
      <w:r>
        <w:rPr>
          <w:rFonts w:hint="eastAsia" w:ascii="黑体" w:hAnsi="黑体" w:eastAsia="黑体" w:cs="黑体"/>
          <w:kern w:val="2"/>
          <w:sz w:val="32"/>
          <w:szCs w:val="32"/>
          <w:shd w:val="clear" w:color="auto" w:fill="auto"/>
          <w:lang w:val="en-US" w:eastAsia="zh-CN" w:bidi="ar-SA"/>
        </w:rPr>
        <w:t>四、</w:t>
      </w:r>
      <w:r>
        <w:rPr>
          <w:rFonts w:hint="eastAsia" w:ascii="黑体" w:hAnsi="黑体" w:eastAsia="黑体" w:cs="黑体"/>
          <w:sz w:val="32"/>
          <w:szCs w:val="32"/>
          <w:shd w:val="clear" w:color="auto" w:fill="auto"/>
        </w:rPr>
        <w:t>资金使用</w:t>
      </w:r>
      <w:r>
        <w:rPr>
          <w:rFonts w:hint="eastAsia" w:ascii="黑体" w:hAnsi="黑体" w:eastAsia="黑体" w:cs="黑体"/>
          <w:sz w:val="32"/>
          <w:szCs w:val="32"/>
          <w:shd w:val="clear" w:color="auto" w:fill="auto"/>
          <w:lang w:eastAsia="zh-CN"/>
        </w:rPr>
        <w:t>和绩效管理</w:t>
      </w:r>
    </w:p>
    <w:p>
      <w:pPr>
        <w:pStyle w:val="11"/>
        <w:keepNext w:val="0"/>
        <w:keepLines w:val="0"/>
        <w:pageBreakBefore w:val="0"/>
        <w:widowControl w:val="0"/>
        <w:suppressLineNumbers w:val="0"/>
        <w:shd w:val="clear" w:color="auto" w:fill="auto"/>
        <w:kinsoku/>
        <w:wordWrap/>
        <w:overflowPunct w:val="0"/>
        <w:topLinePunct w:val="0"/>
        <w:autoSpaceDE/>
        <w:autoSpaceDN/>
        <w:bidi w:val="0"/>
        <w:adjustRightInd w:val="0"/>
        <w:snapToGrid w:val="0"/>
        <w:spacing w:before="0" w:beforeAutospacing="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（一）资金使用。</w:t>
      </w:r>
      <w:r>
        <w:rPr>
          <w:rFonts w:hint="eastAsia" w:ascii="仿宋_GB2312" w:hAnsi="仿宋_GB2312" w:eastAsia="仿宋_GB2312" w:cs="仿宋_GB2312"/>
          <w:kern w:val="2"/>
          <w:sz w:val="32"/>
          <w:szCs w:val="32"/>
          <w:shd w:val="clear" w:color="auto" w:fill="auto"/>
          <w:lang w:val="en-US" w:eastAsia="zh-CN" w:bidi="ar-SA"/>
        </w:rPr>
        <w:t>每个盟市试点期为2年。自治区重点产业专项资金对试点盟市给予奖补，分期拨付，由试点盟市统筹使用，并按照“企业出一点、服务商让一点、政府补一点”的原则，重点用于支持平台建设、企业数字化改造、标准研制和采购咨询诊断、人才培训、宣贯推广等综合服务。鼓励试点盟市给予配套资金支持，积极引导社会资本参与数字化改造。</w:t>
      </w:r>
    </w:p>
    <w:p>
      <w:pPr>
        <w:pStyle w:val="11"/>
        <w:keepNext w:val="0"/>
        <w:keepLines w:val="0"/>
        <w:pageBreakBefore w:val="0"/>
        <w:widowControl w:val="0"/>
        <w:suppressLineNumbers w:val="0"/>
        <w:shd w:val="clear" w:color="auto" w:fill="auto"/>
        <w:kinsoku/>
        <w:wordWrap/>
        <w:overflowPunct w:val="0"/>
        <w:topLinePunct w:val="0"/>
        <w:autoSpaceDE/>
        <w:autoSpaceDN/>
        <w:bidi w:val="0"/>
        <w:adjustRightInd w:val="0"/>
        <w:snapToGrid w:val="0"/>
        <w:spacing w:before="0" w:beforeAutospacing="0" w:afterAutospacing="0" w:line="600" w:lineRule="exact"/>
        <w:ind w:firstLine="643" w:firstLineChars="200"/>
        <w:jc w:val="both"/>
        <w:textAlignment w:val="auto"/>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（二）绩效管理。</w:t>
      </w:r>
      <w:r>
        <w:rPr>
          <w:rFonts w:hint="eastAsia" w:ascii="仿宋_GB2312" w:hAnsi="仿宋_GB2312" w:eastAsia="仿宋_GB2312" w:cs="仿宋_GB2312"/>
          <w:kern w:val="2"/>
          <w:sz w:val="32"/>
          <w:szCs w:val="32"/>
          <w:shd w:val="clear" w:color="auto" w:fill="auto"/>
          <w:lang w:val="en-US" w:eastAsia="zh-CN" w:bidi="ar-SA"/>
        </w:rPr>
        <w:t>试点盟市应结合试点工作要求，确定绩效目标。盟市工信部门应当强化绩效目标管理，做好绩效运行监控，分年度开展绩效自评。自治区工信部门组织开展中期和期后绩效评价，对未达到绩效目标的，限期整改或收回专项资金。</w:t>
      </w:r>
    </w:p>
    <w:p>
      <w:pPr>
        <w:pStyle w:val="11"/>
        <w:keepNext w:val="0"/>
        <w:keepLines w:val="0"/>
        <w:pageBreakBefore w:val="0"/>
        <w:widowControl w:val="0"/>
        <w:suppressLineNumbers w:val="0"/>
        <w:shd w:val="clear" w:color="auto" w:fill="auto"/>
        <w:kinsoku/>
        <w:wordWrap/>
        <w:overflowPunct w:val="0"/>
        <w:topLinePunct w:val="0"/>
        <w:autoSpaceDE/>
        <w:autoSpaceDN/>
        <w:bidi w:val="0"/>
        <w:adjustRightInd w:val="0"/>
        <w:snapToGrid w:val="0"/>
        <w:spacing w:before="0" w:beforeAutospacing="0" w:afterAutospacing="0" w:line="600" w:lineRule="exact"/>
        <w:ind w:firstLine="640" w:firstLineChars="200"/>
        <w:jc w:val="both"/>
        <w:textAlignment w:val="auto"/>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、组织实施</w:t>
      </w:r>
    </w:p>
    <w:p>
      <w:pPr>
        <w:pStyle w:val="11"/>
        <w:keepNext w:val="0"/>
        <w:keepLines w:val="0"/>
        <w:pageBreakBefore w:val="0"/>
        <w:widowControl w:val="0"/>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outlineLvl w:val="1"/>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（一）组织申报。</w:t>
      </w:r>
      <w:r>
        <w:rPr>
          <w:rFonts w:hint="eastAsia" w:ascii="仿宋_GB2312" w:hAnsi="仿宋_GB2312" w:eastAsia="仿宋_GB2312" w:cs="仿宋_GB2312"/>
          <w:kern w:val="2"/>
          <w:sz w:val="32"/>
          <w:szCs w:val="32"/>
          <w:shd w:val="clear" w:color="auto" w:fill="auto"/>
          <w:lang w:val="en-US" w:eastAsia="zh-CN" w:bidi="ar-SA"/>
        </w:rPr>
        <w:t>以盟市为单位申报，拟申报的试点盟市按要求编制制造业数字化转型总体方案，包括现有工作基础、工作目标（绩效目标）、具体实施内容、实施路径、资金使用方向、保障措施、责任分工等，由盟市工信局联合财政局将加盖公章的纸质版和PDF版（光盘刻录）各一式三份报自治区工信厅。</w:t>
      </w:r>
    </w:p>
    <w:p>
      <w:pPr>
        <w:pStyle w:val="11"/>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outlineLvl w:val="1"/>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（二）专家评审。</w:t>
      </w:r>
      <w:r>
        <w:rPr>
          <w:rFonts w:hint="eastAsia" w:ascii="仿宋_GB2312" w:hAnsi="仿宋_GB2312" w:eastAsia="仿宋_GB2312" w:cs="仿宋_GB2312"/>
          <w:kern w:val="2"/>
          <w:sz w:val="32"/>
          <w:szCs w:val="32"/>
          <w:shd w:val="clear" w:color="auto" w:fill="auto"/>
          <w:lang w:val="en-US" w:eastAsia="zh-CN" w:bidi="ar-SA"/>
        </w:rPr>
        <w:t>自治区工信厅委托第三方机构进行评审，主要评审申报材料的真实性、完整性、科学性、可行性，以及申报内容是否符合国家产业发展方向和自治区产业结构布局，提出的工作目标、政策保障是否切实可行。根据评审结果，初步确定拟纳入试点范围的盟市名单，并对实施方案提出修改完善的意见。</w:t>
      </w:r>
    </w:p>
    <w:p>
      <w:pPr>
        <w:pStyle w:val="11"/>
        <w:widowControl w:val="0"/>
        <w:numPr>
          <w:ilvl w:val="0"/>
          <w:numId w:val="0"/>
        </w:numPr>
        <w:shd w:val="clear" w:color="auto" w:fill="auto"/>
        <w:overflowPunct w:val="0"/>
        <w:adjustRightInd w:val="0"/>
        <w:snapToGrid w:val="0"/>
        <w:spacing w:before="0" w:beforeAutospacing="0" w:after="0" w:afterAutospacing="0" w:line="600" w:lineRule="exact"/>
        <w:ind w:firstLine="643" w:firstLineChars="200"/>
        <w:jc w:val="both"/>
        <w:outlineLvl w:val="1"/>
        <w:rPr>
          <w:rFonts w:hint="eastAsia" w:ascii="仿宋_GB2312" w:hAnsi="仿宋_GB2312" w:eastAsia="仿宋_GB2312" w:cs="仿宋_GB2312"/>
          <w:kern w:val="2"/>
          <w:sz w:val="32"/>
          <w:szCs w:val="32"/>
          <w:shd w:val="clear" w:color="auto" w:fill="auto"/>
          <w:lang w:val="en-US" w:eastAsia="zh-CN" w:bidi="ar-SA"/>
        </w:rPr>
      </w:pPr>
      <w:r>
        <w:rPr>
          <w:rFonts w:hint="eastAsia" w:ascii="楷体_GB2312" w:hAnsi="楷体_GB2312" w:eastAsia="楷体_GB2312" w:cs="楷体_GB2312"/>
          <w:b/>
          <w:bCs/>
          <w:color w:val="000000"/>
          <w:kern w:val="0"/>
          <w:sz w:val="32"/>
          <w:szCs w:val="32"/>
          <w:shd w:val="clear" w:color="auto" w:fill="auto"/>
          <w:lang w:val="en-US" w:eastAsia="zh-CN" w:bidi="ar-SA"/>
        </w:rPr>
        <w:t>（三）公示与批复。</w:t>
      </w:r>
      <w:r>
        <w:rPr>
          <w:rFonts w:hint="eastAsia" w:ascii="仿宋_GB2312" w:hAnsi="仿宋_GB2312" w:eastAsia="仿宋_GB2312" w:cs="仿宋_GB2312"/>
          <w:kern w:val="2"/>
          <w:sz w:val="32"/>
          <w:szCs w:val="32"/>
          <w:shd w:val="clear" w:color="auto" w:fill="auto"/>
          <w:lang w:val="en-US" w:eastAsia="zh-CN" w:bidi="ar-SA"/>
        </w:rPr>
        <w:t>入选试点盟市名单在自治区工信厅门户网站进行公示，无异议者确定为自治区制造业数字化转型试点盟市，自治区工信厅批复试点总体方案，并会同自治区财政厅下达奖补资金。试点盟市应严格按照批复的总体方案开展工作，如调整需报自治区工信厅批准。</w:t>
      </w:r>
    </w:p>
    <w:p>
      <w:pPr>
        <w:pStyle w:val="11"/>
        <w:widowControl w:val="0"/>
        <w:numPr>
          <w:ilvl w:val="0"/>
          <w:numId w:val="0"/>
        </w:numPr>
        <w:shd w:val="clear" w:color="auto" w:fill="auto"/>
        <w:overflowPunct w:val="0"/>
        <w:adjustRightInd w:val="0"/>
        <w:snapToGrid w:val="0"/>
        <w:spacing w:before="0" w:beforeAutospacing="0" w:after="0" w:afterAutospacing="0" w:line="600" w:lineRule="exact"/>
        <w:ind w:firstLine="640" w:firstLineChars="200"/>
        <w:jc w:val="both"/>
        <w:outlineLvl w:val="1"/>
        <w:rPr>
          <w:rFonts w:hint="eastAsia" w:ascii="仿宋_GB2312" w:hAnsi="仿宋_GB2312" w:eastAsia="仿宋_GB2312" w:cs="仿宋_GB2312"/>
          <w:kern w:val="2"/>
          <w:sz w:val="32"/>
          <w:szCs w:val="32"/>
          <w:shd w:val="clear" w:color="auto" w:fill="auto"/>
          <w:lang w:val="en-US" w:eastAsia="zh-CN"/>
        </w:rPr>
      </w:pPr>
    </w:p>
    <w:p>
      <w:pPr>
        <w:pStyle w:val="11"/>
        <w:widowControl w:val="0"/>
        <w:numPr>
          <w:ilvl w:val="0"/>
          <w:numId w:val="0"/>
        </w:numPr>
        <w:shd w:val="clear" w:color="auto" w:fill="auto"/>
        <w:overflowPunct w:val="0"/>
        <w:adjustRightInd w:val="0"/>
        <w:snapToGrid w:val="0"/>
        <w:spacing w:before="0" w:beforeAutospacing="0" w:after="0" w:afterAutospacing="0" w:line="600" w:lineRule="exact"/>
        <w:ind w:firstLine="640" w:firstLineChars="200"/>
        <w:jc w:val="both"/>
        <w:outlineLvl w:val="1"/>
        <w:rPr>
          <w:rFonts w:hint="eastAsia" w:ascii="仿宋_GB2312" w:hAnsi="仿宋_GB2312" w:eastAsia="仿宋_GB2312" w:cs="仿宋_GB2312"/>
          <w:kern w:val="2"/>
          <w:sz w:val="32"/>
          <w:szCs w:val="32"/>
          <w:shd w:val="clear" w:color="auto" w:fill="auto"/>
          <w:lang w:val="en-US" w:eastAsia="zh-CN"/>
        </w:rPr>
      </w:pPr>
      <w:r>
        <w:rPr>
          <w:rFonts w:hint="eastAsia" w:ascii="仿宋_GB2312" w:hAnsi="仿宋_GB2312" w:eastAsia="仿宋_GB2312" w:cs="仿宋_GB2312"/>
          <w:kern w:val="2"/>
          <w:sz w:val="32"/>
          <w:szCs w:val="32"/>
          <w:shd w:val="clear" w:color="auto" w:fill="auto"/>
          <w:lang w:val="en-US" w:eastAsia="zh-CN"/>
        </w:rPr>
        <w:t>附件：自治区制造业数字化转型试点总体方案（模板）</w:t>
      </w:r>
    </w:p>
    <w:p>
      <w:pPr>
        <w:overflowPunct w:val="0"/>
        <w:adjustRightInd w:val="0"/>
        <w:snapToGrid w:val="0"/>
        <w:spacing w:line="600" w:lineRule="exact"/>
        <w:ind w:firstLine="1600" w:firstLineChars="5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（联系人：张瑞  联系方式：0471-6919176）</w:t>
      </w: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ind w:left="0" w:leftChars="0" w:firstLine="0" w:firstLineChars="0"/>
        <w:rPr>
          <w:lang w:val="en-US" w:eastAsia="zh-CN"/>
        </w:rPr>
      </w:pPr>
    </w:p>
    <w:p>
      <w:pPr>
        <w:widowControl/>
        <w:ind w:left="0" w:leftChars="0" w:firstLine="0" w:firstLineChars="0"/>
        <w:jc w:val="left"/>
        <w:outlineLvl w:val="0"/>
        <w:rPr>
          <w:rFonts w:hint="eastAsia" w:ascii="Times New Roman" w:hAnsi="黑体" w:eastAsia="黑体" w:cs="黑体"/>
          <w:kern w:val="0"/>
          <w:sz w:val="32"/>
          <w:szCs w:val="32"/>
        </w:rPr>
      </w:pPr>
    </w:p>
    <w:p>
      <w:pPr>
        <w:rPr>
          <w:rFonts w:hint="eastAsia" w:ascii="Times New Roman" w:hAnsi="黑体" w:eastAsia="黑体" w:cs="黑体"/>
          <w:kern w:val="0"/>
          <w:sz w:val="32"/>
          <w:szCs w:val="32"/>
        </w:rPr>
      </w:pPr>
      <w:r>
        <w:rPr>
          <w:rFonts w:hint="eastAsia" w:ascii="Times New Roman" w:hAnsi="黑体" w:eastAsia="黑体" w:cs="黑体"/>
          <w:kern w:val="0"/>
          <w:sz w:val="32"/>
          <w:szCs w:val="32"/>
        </w:rPr>
        <w:br w:type="page"/>
      </w:r>
    </w:p>
    <w:p>
      <w:pPr>
        <w:pStyle w:val="2"/>
        <w:rPr>
          <w:rFonts w:hint="eastAsia" w:ascii="Times New Roman" w:hAnsi="黑体" w:eastAsia="黑体" w:cs="黑体"/>
          <w:kern w:val="0"/>
          <w:sz w:val="32"/>
          <w:szCs w:val="32"/>
        </w:rPr>
      </w:pPr>
      <w:r>
        <w:rPr>
          <w:rFonts w:hint="eastAsia" w:ascii="Times New Roman" w:hAnsi="黑体" w:eastAsia="黑体" w:cs="黑体"/>
          <w:kern w:val="0"/>
          <w:sz w:val="32"/>
          <w:szCs w:val="32"/>
        </w:rPr>
        <w:t>附件</w:t>
      </w:r>
    </w:p>
    <w:p>
      <w:pPr>
        <w:rPr>
          <w:rFonts w:hint="eastAsia" w:ascii="Times New Roman" w:hAnsi="黑体" w:eastAsia="黑体" w:cs="黑体"/>
          <w:kern w:val="0"/>
          <w:sz w:val="32"/>
          <w:szCs w:val="32"/>
        </w:rPr>
      </w:pPr>
    </w:p>
    <w:p>
      <w:pPr>
        <w:pStyle w:val="2"/>
        <w:rPr>
          <w:rFonts w:hint="eastAsia" w:ascii="Times New Roman" w:hAnsi="黑体" w:eastAsia="黑体" w:cs="黑体"/>
          <w:kern w:val="0"/>
          <w:sz w:val="32"/>
          <w:szCs w:val="32"/>
        </w:rPr>
      </w:pPr>
    </w:p>
    <w:p>
      <w:pPr>
        <w:rPr>
          <w:rFonts w:hint="eastAsia"/>
        </w:rPr>
      </w:pP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0" w:firstLineChars="0"/>
        <w:jc w:val="center"/>
        <w:textAlignment w:val="auto"/>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自治区</w:t>
      </w:r>
      <w:r>
        <w:rPr>
          <w:rFonts w:hint="eastAsia" w:ascii="Times New Roman" w:hAnsi="Times New Roman" w:eastAsia="方正小标宋简体" w:cs="方正小标宋简体"/>
          <w:sz w:val="44"/>
          <w:szCs w:val="44"/>
          <w:lang w:val="en-US"/>
        </w:rPr>
        <w:t>制造业</w:t>
      </w:r>
      <w:r>
        <w:rPr>
          <w:rFonts w:hint="eastAsia" w:ascii="Times New Roman" w:hAnsi="Times New Roman" w:eastAsia="方正小标宋简体" w:cs="方正小标宋简体"/>
          <w:sz w:val="44"/>
          <w:szCs w:val="44"/>
        </w:rPr>
        <w:t>数字化转型试点</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left="0" w:leftChars="0" w:firstLine="0" w:firstLineChars="0"/>
        <w:jc w:val="center"/>
        <w:textAlignment w:val="auto"/>
        <w:outlineLvl w:val="0"/>
        <w:rPr>
          <w:rStyle w:val="13"/>
          <w:rFonts w:ascii="Times New Roman" w:hAnsi="Times New Roman" w:eastAsia="方正小标宋简体" w:cs="方正小标宋简体"/>
          <w:b w:val="0"/>
          <w:sz w:val="44"/>
          <w:szCs w:val="44"/>
        </w:rPr>
      </w:pPr>
      <w:r>
        <w:rPr>
          <w:rFonts w:hint="eastAsia" w:ascii="Times New Roman" w:hAnsi="Times New Roman" w:eastAsia="方正小标宋简体" w:cs="方正小标宋简体"/>
          <w:sz w:val="44"/>
          <w:szCs w:val="44"/>
          <w:lang w:eastAsia="zh-CN"/>
        </w:rPr>
        <w:t>总体</w:t>
      </w:r>
      <w:r>
        <w:rPr>
          <w:rFonts w:hint="eastAsia" w:ascii="Times New Roman" w:hAnsi="Times New Roman" w:eastAsia="方正小标宋简体" w:cs="方正小标宋简体"/>
          <w:sz w:val="44"/>
          <w:szCs w:val="44"/>
        </w:rPr>
        <w:t>方案（模板）</w:t>
      </w:r>
    </w:p>
    <w:p>
      <w:pPr>
        <w:pStyle w:val="11"/>
        <w:widowControl/>
        <w:spacing w:before="0" w:beforeAutospacing="0" w:after="0" w:afterAutospacing="0"/>
        <w:ind w:firstLine="640"/>
        <w:rPr>
          <w:rStyle w:val="13"/>
          <w:rFonts w:ascii="Times New Roman" w:hAnsi="Times New Roman" w:eastAsia="仿宋_GB2312" w:cs="仿宋_GB2312"/>
          <w:b w:val="0"/>
          <w:bCs/>
          <w:sz w:val="32"/>
          <w:szCs w:val="32"/>
        </w:rPr>
      </w:pPr>
    </w:p>
    <w:p>
      <w:pPr>
        <w:pStyle w:val="11"/>
        <w:widowControl/>
        <w:spacing w:before="0" w:beforeAutospacing="0" w:after="0" w:afterAutospacing="0"/>
        <w:ind w:firstLine="640"/>
        <w:rPr>
          <w:rStyle w:val="13"/>
          <w:rFonts w:ascii="Times New Roman" w:hAnsi="Times New Roman" w:eastAsia="仿宋_GB2312" w:cs="仿宋_GB2312"/>
          <w:b w:val="0"/>
          <w:bCs/>
          <w:sz w:val="32"/>
          <w:szCs w:val="32"/>
        </w:rPr>
      </w:pPr>
    </w:p>
    <w:p>
      <w:pPr>
        <w:pStyle w:val="11"/>
        <w:widowControl/>
        <w:spacing w:before="0" w:beforeAutospacing="0" w:after="0" w:afterAutospacing="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ind w:firstLine="1440" w:firstLineChars="45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ind w:firstLine="1440" w:firstLineChars="45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ind w:firstLine="1440" w:firstLineChars="45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line="700" w:lineRule="exact"/>
        <w:ind w:firstLine="1600" w:firstLineChars="500"/>
        <w:rPr>
          <w:rStyle w:val="13"/>
          <w:rFonts w:hint="default" w:ascii="Times New Roman" w:hAnsi="Times New Roman" w:eastAsia="仿宋_GB2312" w:cs="仿宋_GB2312"/>
          <w:b w:val="0"/>
          <w:bCs/>
          <w:sz w:val="32"/>
          <w:szCs w:val="32"/>
          <w:lang w:val="en-US" w:eastAsia="zh-CN"/>
        </w:rPr>
      </w:pPr>
      <w:r>
        <w:rPr>
          <w:rStyle w:val="13"/>
          <w:rFonts w:hint="eastAsia" w:ascii="Times New Roman" w:hAnsi="仿宋_GB2312" w:eastAsia="仿宋_GB2312" w:cs="仿宋_GB2312"/>
          <w:b w:val="0"/>
          <w:bCs/>
          <w:sz w:val="32"/>
          <w:szCs w:val="32"/>
        </w:rPr>
        <w:t>申报</w:t>
      </w:r>
      <w:r>
        <w:rPr>
          <w:rStyle w:val="13"/>
          <w:rFonts w:hint="eastAsia" w:ascii="Times New Roman" w:hAnsi="仿宋_GB2312" w:eastAsia="仿宋_GB2312" w:cs="仿宋_GB2312"/>
          <w:b w:val="0"/>
          <w:bCs/>
          <w:sz w:val="32"/>
          <w:szCs w:val="32"/>
          <w:lang w:eastAsia="zh-CN"/>
        </w:rPr>
        <w:t>盟（</w:t>
      </w:r>
      <w:r>
        <w:rPr>
          <w:rStyle w:val="13"/>
          <w:rFonts w:hint="eastAsia" w:ascii="Times New Roman" w:hAnsi="仿宋_GB2312" w:eastAsia="仿宋_GB2312" w:cs="仿宋_GB2312"/>
          <w:b w:val="0"/>
          <w:bCs/>
          <w:sz w:val="32"/>
          <w:szCs w:val="32"/>
        </w:rPr>
        <w:t>市</w:t>
      </w:r>
      <w:r>
        <w:rPr>
          <w:rStyle w:val="13"/>
          <w:rFonts w:hint="eastAsia" w:ascii="Times New Roman" w:hAnsi="仿宋_GB2312" w:eastAsia="仿宋_GB2312" w:cs="仿宋_GB2312"/>
          <w:b w:val="0"/>
          <w:bCs/>
          <w:sz w:val="32"/>
          <w:szCs w:val="32"/>
          <w:lang w:eastAsia="zh-CN"/>
        </w:rPr>
        <w:t>）</w:t>
      </w:r>
      <w:r>
        <w:rPr>
          <w:rStyle w:val="13"/>
          <w:rFonts w:hint="eastAsia" w:ascii="Times New Roman" w:hAnsi="仿宋_GB2312" w:eastAsia="仿宋_GB2312" w:cs="仿宋_GB2312"/>
          <w:b w:val="0"/>
          <w:bCs/>
          <w:sz w:val="32"/>
          <w:szCs w:val="32"/>
          <w:lang w:val="en-US" w:eastAsia="zh-CN"/>
        </w:rPr>
        <w:t>：</w:t>
      </w:r>
      <w:r>
        <w:rPr>
          <w:rStyle w:val="13"/>
          <w:rFonts w:hint="eastAsia" w:ascii="Times New Roman" w:hAnsi="Times New Roman" w:eastAsia="仿宋_GB2312" w:cs="仿宋_GB2312"/>
          <w:b w:val="0"/>
          <w:bCs/>
          <w:sz w:val="32"/>
          <w:szCs w:val="32"/>
          <w:u w:val="single"/>
        </w:rPr>
        <w:t xml:space="preserve">                   </w:t>
      </w:r>
    </w:p>
    <w:p>
      <w:pPr>
        <w:pStyle w:val="11"/>
        <w:widowControl/>
        <w:spacing w:before="0" w:beforeAutospacing="0" w:after="0" w:afterAutospacing="0" w:line="700" w:lineRule="exact"/>
        <w:ind w:firstLine="1600" w:firstLineChars="500"/>
        <w:rPr>
          <w:rStyle w:val="13"/>
          <w:rFonts w:hint="eastAsia" w:ascii="Times New Roman" w:hAnsi="仿宋_GB2312" w:eastAsia="仿宋_GB2312" w:cs="仿宋_GB2312"/>
          <w:b w:val="0"/>
          <w:bCs/>
          <w:sz w:val="32"/>
          <w:szCs w:val="32"/>
        </w:rPr>
      </w:pPr>
      <w:r>
        <w:rPr>
          <w:rStyle w:val="13"/>
          <w:rFonts w:hint="eastAsia" w:ascii="Times New Roman" w:hAnsi="仿宋_GB2312" w:eastAsia="仿宋_GB2312" w:cs="仿宋_GB2312"/>
          <w:b w:val="0"/>
          <w:bCs/>
          <w:sz w:val="32"/>
          <w:szCs w:val="32"/>
        </w:rPr>
        <w:t>联</w:t>
      </w:r>
      <w:r>
        <w:rPr>
          <w:rStyle w:val="13"/>
          <w:rFonts w:hint="eastAsia" w:ascii="Times New Roman" w:hAnsi="仿宋_GB2312" w:eastAsia="仿宋_GB2312" w:cs="仿宋_GB2312"/>
          <w:b w:val="0"/>
          <w:bCs/>
          <w:sz w:val="32"/>
          <w:szCs w:val="32"/>
          <w:lang w:val="en-US" w:eastAsia="zh-CN"/>
        </w:rPr>
        <w:t xml:space="preserve">  </w:t>
      </w:r>
      <w:r>
        <w:rPr>
          <w:rStyle w:val="13"/>
          <w:rFonts w:hint="eastAsia" w:ascii="Times New Roman" w:hAnsi="仿宋_GB2312" w:eastAsia="仿宋_GB2312" w:cs="仿宋_GB2312"/>
          <w:b w:val="0"/>
          <w:bCs/>
          <w:sz w:val="32"/>
          <w:szCs w:val="32"/>
        </w:rPr>
        <w:t>系</w:t>
      </w:r>
      <w:r>
        <w:rPr>
          <w:rStyle w:val="13"/>
          <w:rFonts w:hint="eastAsia" w:ascii="Times New Roman" w:hAnsi="仿宋_GB2312" w:eastAsia="仿宋_GB2312" w:cs="仿宋_GB2312"/>
          <w:b w:val="0"/>
          <w:bCs/>
          <w:sz w:val="32"/>
          <w:szCs w:val="32"/>
          <w:lang w:val="en-US" w:eastAsia="zh-CN"/>
        </w:rPr>
        <w:t xml:space="preserve">  </w:t>
      </w:r>
      <w:r>
        <w:rPr>
          <w:rStyle w:val="13"/>
          <w:rFonts w:hint="eastAsia" w:ascii="Times New Roman" w:hAnsi="仿宋_GB2312" w:eastAsia="仿宋_GB2312" w:cs="仿宋_GB2312"/>
          <w:b w:val="0"/>
          <w:bCs/>
          <w:sz w:val="32"/>
          <w:szCs w:val="32"/>
        </w:rPr>
        <w:t>人</w:t>
      </w:r>
      <w:r>
        <w:rPr>
          <w:rStyle w:val="13"/>
          <w:rFonts w:hint="eastAsia" w:ascii="Times New Roman" w:hAnsi="仿宋_GB2312" w:eastAsia="仿宋_GB2312" w:cs="仿宋_GB2312"/>
          <w:b w:val="0"/>
          <w:bCs/>
          <w:sz w:val="32"/>
          <w:szCs w:val="32"/>
          <w:lang w:eastAsia="zh-CN"/>
        </w:rPr>
        <w:t>：</w:t>
      </w:r>
      <w:r>
        <w:rPr>
          <w:rStyle w:val="13"/>
          <w:rFonts w:hint="eastAsia" w:ascii="Times New Roman" w:hAnsi="Times New Roman" w:eastAsia="仿宋_GB2312" w:cs="仿宋_GB2312"/>
          <w:b w:val="0"/>
          <w:bCs/>
          <w:sz w:val="32"/>
          <w:szCs w:val="32"/>
          <w:u w:val="single"/>
        </w:rPr>
        <w:t xml:space="preserve"> </w:t>
      </w:r>
      <w:r>
        <w:rPr>
          <w:rStyle w:val="13"/>
          <w:rFonts w:hint="eastAsia" w:ascii="Times New Roman" w:hAnsi="Times New Roman" w:eastAsia="仿宋_GB2312" w:cs="仿宋_GB2312"/>
          <w:b w:val="0"/>
          <w:bCs/>
          <w:sz w:val="32"/>
          <w:szCs w:val="32"/>
          <w:u w:val="single"/>
          <w:lang w:val="en-US" w:eastAsia="zh-CN"/>
        </w:rPr>
        <w:t xml:space="preserve">        </w:t>
      </w:r>
      <w:r>
        <w:rPr>
          <w:rStyle w:val="13"/>
          <w:rFonts w:hint="eastAsia" w:ascii="Times New Roman" w:hAnsi="Times New Roman" w:eastAsia="仿宋_GB2312" w:cs="仿宋_GB2312"/>
          <w:b w:val="0"/>
          <w:bCs/>
          <w:sz w:val="32"/>
          <w:szCs w:val="32"/>
          <w:u w:val="single"/>
        </w:rPr>
        <w:t xml:space="preserve">            </w:t>
      </w:r>
    </w:p>
    <w:p>
      <w:pPr>
        <w:pStyle w:val="11"/>
        <w:widowControl/>
        <w:spacing w:before="0" w:beforeAutospacing="0" w:after="0" w:afterAutospacing="0" w:line="700" w:lineRule="exact"/>
        <w:ind w:firstLine="1600" w:firstLineChars="500"/>
        <w:rPr>
          <w:rStyle w:val="13"/>
          <w:rFonts w:hint="eastAsia" w:ascii="Times New Roman" w:hAnsi="Times New Roman" w:eastAsia="仿宋_GB2312" w:cs="仿宋_GB2312"/>
          <w:b w:val="0"/>
          <w:bCs/>
          <w:sz w:val="32"/>
          <w:szCs w:val="32"/>
          <w:u w:val="single"/>
        </w:rPr>
      </w:pPr>
      <w:r>
        <w:rPr>
          <w:rStyle w:val="13"/>
          <w:rFonts w:hint="eastAsia" w:ascii="Times New Roman" w:hAnsi="仿宋_GB2312" w:eastAsia="仿宋_GB2312" w:cs="仿宋_GB2312"/>
          <w:b w:val="0"/>
          <w:bCs/>
          <w:sz w:val="32"/>
          <w:szCs w:val="32"/>
        </w:rPr>
        <w:t>电</w:t>
      </w:r>
      <w:r>
        <w:rPr>
          <w:rStyle w:val="13"/>
          <w:rFonts w:hint="eastAsia" w:ascii="Times New Roman" w:hAnsi="仿宋_GB2312" w:eastAsia="仿宋_GB2312" w:cs="仿宋_GB2312"/>
          <w:b w:val="0"/>
          <w:bCs/>
          <w:sz w:val="32"/>
          <w:szCs w:val="32"/>
          <w:lang w:val="en-US" w:eastAsia="zh-CN"/>
        </w:rPr>
        <w:t xml:space="preserve">      </w:t>
      </w:r>
      <w:r>
        <w:rPr>
          <w:rStyle w:val="13"/>
          <w:rFonts w:hint="eastAsia" w:ascii="Times New Roman" w:hAnsi="仿宋_GB2312" w:eastAsia="仿宋_GB2312" w:cs="仿宋_GB2312"/>
          <w:b w:val="0"/>
          <w:bCs/>
          <w:sz w:val="32"/>
          <w:szCs w:val="32"/>
        </w:rPr>
        <w:t>话</w:t>
      </w:r>
      <w:r>
        <w:rPr>
          <w:rStyle w:val="13"/>
          <w:rFonts w:hint="eastAsia" w:ascii="Times New Roman" w:hAnsi="仿宋_GB2312" w:eastAsia="仿宋_GB2312" w:cs="仿宋_GB2312"/>
          <w:b w:val="0"/>
          <w:bCs/>
          <w:sz w:val="32"/>
          <w:szCs w:val="32"/>
          <w:lang w:eastAsia="zh-CN"/>
        </w:rPr>
        <w:t>：</w:t>
      </w:r>
      <w:r>
        <w:rPr>
          <w:rStyle w:val="13"/>
          <w:rFonts w:hint="eastAsia" w:ascii="Times New Roman" w:hAnsi="Times New Roman" w:eastAsia="仿宋_GB2312" w:cs="仿宋_GB2312"/>
          <w:b w:val="0"/>
          <w:bCs/>
          <w:sz w:val="32"/>
          <w:szCs w:val="32"/>
          <w:u w:val="single"/>
        </w:rPr>
        <w:t xml:space="preserve">          </w:t>
      </w:r>
      <w:r>
        <w:rPr>
          <w:rStyle w:val="13"/>
          <w:rFonts w:hint="eastAsia" w:ascii="Times New Roman" w:hAnsi="Times New Roman" w:eastAsia="仿宋_GB2312" w:cs="仿宋_GB2312"/>
          <w:b w:val="0"/>
          <w:bCs/>
          <w:sz w:val="32"/>
          <w:szCs w:val="32"/>
          <w:u w:val="single"/>
          <w:lang w:val="en-US" w:eastAsia="zh-CN"/>
        </w:rPr>
        <w:t xml:space="preserve">         </w:t>
      </w:r>
      <w:r>
        <w:rPr>
          <w:rStyle w:val="13"/>
          <w:rFonts w:hint="eastAsia" w:ascii="Times New Roman" w:hAnsi="Times New Roman" w:eastAsia="仿宋_GB2312" w:cs="仿宋_GB2312"/>
          <w:b w:val="0"/>
          <w:bCs/>
          <w:sz w:val="32"/>
          <w:szCs w:val="32"/>
          <w:u w:val="single"/>
        </w:rPr>
        <w:t xml:space="preserve">  </w:t>
      </w:r>
    </w:p>
    <w:p>
      <w:pPr>
        <w:pStyle w:val="11"/>
        <w:widowControl/>
        <w:spacing w:before="0" w:beforeAutospacing="0" w:after="0" w:afterAutospacing="0" w:line="700" w:lineRule="exact"/>
        <w:rPr>
          <w:rStyle w:val="13"/>
          <w:rFonts w:hint="eastAsia" w:ascii="Times New Roman" w:hAnsi="Times New Roman" w:eastAsia="仿宋_GB2312" w:cs="仿宋_GB2312"/>
          <w:b w:val="0"/>
          <w:bCs/>
          <w:sz w:val="32"/>
          <w:szCs w:val="32"/>
          <w:u w:val="single"/>
        </w:rPr>
      </w:pPr>
    </w:p>
    <w:p>
      <w:pPr>
        <w:pStyle w:val="11"/>
        <w:widowControl/>
        <w:spacing w:before="0" w:beforeAutospacing="0" w:after="0" w:afterAutospacing="0"/>
        <w:ind w:firstLine="64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ind w:firstLine="64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rPr>
          <w:rStyle w:val="13"/>
          <w:rFonts w:hint="eastAsia" w:ascii="Times New Roman" w:hAnsi="Times New Roman" w:eastAsia="仿宋_GB2312" w:cs="仿宋_GB2312"/>
          <w:b w:val="0"/>
          <w:bCs/>
          <w:sz w:val="32"/>
          <w:szCs w:val="32"/>
        </w:rPr>
      </w:pPr>
    </w:p>
    <w:p>
      <w:pPr>
        <w:pStyle w:val="11"/>
        <w:widowControl/>
        <w:spacing w:before="0" w:beforeAutospacing="0" w:after="0" w:afterAutospacing="0"/>
        <w:rPr>
          <w:rStyle w:val="13"/>
          <w:rFonts w:hint="eastAsia" w:ascii="Times New Roman" w:hAnsi="Times New Roman" w:eastAsia="仿宋_GB2312" w:cs="仿宋_GB2312"/>
          <w:b w:val="0"/>
          <w:bCs/>
          <w:sz w:val="32"/>
          <w:szCs w:val="32"/>
        </w:rPr>
      </w:pPr>
    </w:p>
    <w:p>
      <w:pPr>
        <w:widowControl/>
        <w:spacing w:before="0" w:beforeAutospacing="0" w:after="0" w:afterAutospacing="0"/>
        <w:ind w:firstLine="640" w:firstLineChars="200"/>
        <w:outlineLvl w:val="0"/>
        <w:rPr>
          <w:rStyle w:val="13"/>
          <w:rFonts w:hint="eastAsia" w:ascii="Times New Roman" w:hAnsi="黑体" w:eastAsia="黑体" w:cs="黑体"/>
          <w:b w:val="0"/>
          <w:bCs/>
          <w:sz w:val="32"/>
          <w:szCs w:val="32"/>
        </w:rPr>
      </w:pPr>
      <w:r>
        <w:rPr>
          <w:rStyle w:val="13"/>
          <w:rFonts w:hint="eastAsia" w:ascii="Times New Roman" w:hAnsi="黑体" w:eastAsia="黑体" w:cs="黑体"/>
          <w:b w:val="0"/>
          <w:bCs/>
          <w:sz w:val="32"/>
          <w:szCs w:val="32"/>
        </w:rPr>
        <w:br w:type="page"/>
      </w:r>
    </w:p>
    <w:p>
      <w:pPr>
        <w:pStyle w:val="11"/>
        <w:widowControl w:val="0"/>
        <w:overflowPunct w:val="0"/>
        <w:adjustRightInd w:val="0"/>
        <w:snapToGrid w:val="0"/>
        <w:spacing w:before="0" w:beforeAutospacing="0" w:after="0" w:afterAutospacing="0" w:line="580" w:lineRule="exact"/>
        <w:ind w:firstLine="640" w:firstLineChars="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一、工作基础</w:t>
      </w:r>
    </w:p>
    <w:p>
      <w:pPr>
        <w:pStyle w:val="11"/>
        <w:widowControl w:val="0"/>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spacing w:val="-6"/>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1.概</w:t>
      </w:r>
      <w:r>
        <w:rPr>
          <w:rStyle w:val="12"/>
          <w:rFonts w:hint="eastAsia" w:ascii="仿宋_GB2312" w:hAnsi="仿宋_GB2312" w:eastAsia="仿宋_GB2312" w:cs="仿宋_GB2312"/>
          <w:b w:val="0"/>
          <w:bCs w:val="0"/>
          <w:spacing w:val="-6"/>
          <w:kern w:val="2"/>
          <w:sz w:val="32"/>
          <w:szCs w:val="32"/>
          <w:shd w:val="clear" w:color="auto" w:fill="auto"/>
          <w:lang w:bidi="ar-SA"/>
        </w:rPr>
        <w:t>括介绍</w:t>
      </w:r>
      <w:r>
        <w:rPr>
          <w:rStyle w:val="12"/>
          <w:rFonts w:hint="eastAsia" w:ascii="仿宋_GB2312" w:hAnsi="仿宋_GB2312" w:eastAsia="仿宋_GB2312" w:cs="仿宋_GB2312"/>
          <w:b w:val="0"/>
          <w:bCs w:val="0"/>
          <w:spacing w:val="-6"/>
          <w:kern w:val="2"/>
          <w:sz w:val="32"/>
          <w:szCs w:val="32"/>
          <w:shd w:val="clear" w:color="auto" w:fill="auto"/>
          <w:lang w:eastAsia="zh-CN" w:bidi="ar-SA"/>
        </w:rPr>
        <w:t>盟</w:t>
      </w:r>
      <w:r>
        <w:rPr>
          <w:rStyle w:val="12"/>
          <w:rFonts w:hint="eastAsia" w:ascii="仿宋_GB2312" w:hAnsi="仿宋_GB2312" w:eastAsia="仿宋_GB2312" w:cs="仿宋_GB2312"/>
          <w:b w:val="0"/>
          <w:bCs w:val="0"/>
          <w:spacing w:val="-6"/>
          <w:kern w:val="2"/>
          <w:sz w:val="32"/>
          <w:szCs w:val="32"/>
          <w:shd w:val="clear" w:color="auto" w:fill="auto"/>
          <w:lang w:bidi="ar-SA"/>
        </w:rPr>
        <w:t>市</w:t>
      </w:r>
      <w:r>
        <w:rPr>
          <w:rStyle w:val="12"/>
          <w:rFonts w:hint="eastAsia" w:ascii="仿宋_GB2312" w:hAnsi="仿宋_GB2312" w:eastAsia="仿宋_GB2312" w:cs="仿宋_GB2312"/>
          <w:b w:val="0"/>
          <w:bCs w:val="0"/>
          <w:spacing w:val="-6"/>
          <w:kern w:val="2"/>
          <w:sz w:val="32"/>
          <w:szCs w:val="32"/>
          <w:shd w:val="clear" w:color="auto" w:fill="auto"/>
          <w:lang w:val="en-US" w:eastAsia="zh-CN" w:bidi="ar-SA"/>
        </w:rPr>
        <w:t>制造业</w:t>
      </w:r>
      <w:r>
        <w:rPr>
          <w:rStyle w:val="12"/>
          <w:rFonts w:hint="eastAsia" w:ascii="仿宋_GB2312" w:hAnsi="仿宋_GB2312" w:eastAsia="仿宋_GB2312" w:cs="仿宋_GB2312"/>
          <w:b w:val="0"/>
          <w:bCs w:val="0"/>
          <w:spacing w:val="-6"/>
          <w:kern w:val="2"/>
          <w:sz w:val="32"/>
          <w:szCs w:val="32"/>
          <w:shd w:val="clear" w:color="auto" w:fill="auto"/>
          <w:lang w:bidi="ar-SA"/>
        </w:rPr>
        <w:t>企业、主导产业发展的基本情况。</w:t>
      </w:r>
    </w:p>
    <w:p>
      <w:pPr>
        <w:pStyle w:val="11"/>
        <w:widowControl w:val="0"/>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2.</w:t>
      </w:r>
      <w:r>
        <w:rPr>
          <w:rStyle w:val="12"/>
          <w:rFonts w:hint="eastAsia" w:ascii="仿宋_GB2312" w:hAnsi="仿宋_GB2312" w:eastAsia="仿宋_GB2312" w:cs="仿宋_GB2312"/>
          <w:b w:val="0"/>
          <w:bCs w:val="0"/>
          <w:kern w:val="2"/>
          <w:sz w:val="32"/>
          <w:szCs w:val="32"/>
          <w:shd w:val="clear" w:color="auto" w:fill="auto"/>
          <w:lang w:eastAsia="zh-CN" w:bidi="ar-SA"/>
        </w:rPr>
        <w:t>分别简述所申报</w:t>
      </w:r>
      <w:r>
        <w:rPr>
          <w:rStyle w:val="12"/>
          <w:rFonts w:hint="eastAsia" w:ascii="仿宋_GB2312" w:hAnsi="仿宋_GB2312" w:eastAsia="仿宋_GB2312" w:cs="仿宋_GB2312"/>
          <w:b w:val="0"/>
          <w:bCs w:val="0"/>
          <w:kern w:val="2"/>
          <w:sz w:val="32"/>
          <w:szCs w:val="32"/>
          <w:shd w:val="clear" w:color="auto" w:fill="auto"/>
          <w:lang w:val="en-US" w:eastAsia="zh-CN" w:bidi="ar-SA"/>
        </w:rPr>
        <w:t>产业链</w:t>
      </w:r>
      <w:r>
        <w:rPr>
          <w:rStyle w:val="12"/>
          <w:rFonts w:hint="eastAsia" w:ascii="仿宋_GB2312" w:hAnsi="仿宋_GB2312" w:eastAsia="仿宋_GB2312" w:cs="仿宋_GB2312"/>
          <w:b w:val="0"/>
          <w:bCs w:val="0"/>
          <w:kern w:val="2"/>
          <w:sz w:val="32"/>
          <w:szCs w:val="32"/>
          <w:shd w:val="clear" w:color="auto" w:fill="auto"/>
          <w:lang w:bidi="ar-SA"/>
        </w:rPr>
        <w:t>的基础、优势、特色，包括</w:t>
      </w:r>
      <w:r>
        <w:rPr>
          <w:rStyle w:val="12"/>
          <w:rFonts w:hint="eastAsia" w:ascii="仿宋_GB2312" w:hAnsi="仿宋_GB2312" w:eastAsia="仿宋_GB2312" w:cs="仿宋_GB2312"/>
          <w:b w:val="0"/>
          <w:bCs w:val="0"/>
          <w:kern w:val="2"/>
          <w:sz w:val="32"/>
          <w:szCs w:val="32"/>
          <w:shd w:val="clear" w:color="auto" w:fill="auto"/>
          <w:lang w:val="en-US" w:eastAsia="zh-CN" w:bidi="ar-SA"/>
        </w:rPr>
        <w:t>制造业</w:t>
      </w:r>
      <w:r>
        <w:rPr>
          <w:rStyle w:val="12"/>
          <w:rFonts w:hint="eastAsia" w:ascii="仿宋_GB2312" w:hAnsi="仿宋_GB2312" w:eastAsia="仿宋_GB2312" w:cs="仿宋_GB2312"/>
          <w:b w:val="0"/>
          <w:bCs w:val="0"/>
          <w:kern w:val="2"/>
          <w:sz w:val="32"/>
          <w:szCs w:val="32"/>
          <w:shd w:val="clear" w:color="auto" w:fill="auto"/>
          <w:lang w:eastAsia="zh-CN" w:bidi="ar-SA"/>
        </w:rPr>
        <w:t>数字化转型试点示范项目情况</w:t>
      </w:r>
      <w:r>
        <w:rPr>
          <w:rStyle w:val="12"/>
          <w:rFonts w:hint="eastAsia" w:ascii="仿宋_GB2312" w:hAnsi="仿宋_GB2312" w:eastAsia="仿宋_GB2312" w:cs="仿宋_GB2312"/>
          <w:b w:val="0"/>
          <w:bCs w:val="0"/>
          <w:kern w:val="2"/>
          <w:sz w:val="32"/>
          <w:szCs w:val="32"/>
          <w:shd w:val="clear" w:color="auto" w:fill="auto"/>
          <w:lang w:bidi="ar-SA"/>
        </w:rPr>
        <w:t>。</w:t>
      </w:r>
    </w:p>
    <w:p>
      <w:pPr>
        <w:pStyle w:val="11"/>
        <w:widowControl w:val="0"/>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i w:val="0"/>
          <w:i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3.</w:t>
      </w:r>
      <w:r>
        <w:rPr>
          <w:rStyle w:val="12"/>
          <w:rFonts w:hint="eastAsia" w:ascii="仿宋_GB2312" w:hAnsi="仿宋_GB2312" w:eastAsia="仿宋_GB2312" w:cs="仿宋_GB2312"/>
          <w:b w:val="0"/>
          <w:bCs w:val="0"/>
          <w:kern w:val="2"/>
          <w:sz w:val="32"/>
          <w:szCs w:val="32"/>
          <w:shd w:val="clear" w:color="auto" w:fill="auto"/>
          <w:lang w:eastAsia="zh-CN" w:bidi="ar-SA"/>
        </w:rPr>
        <w:t>分别简述所申报产业链规上、规下</w:t>
      </w:r>
      <w:r>
        <w:rPr>
          <w:rStyle w:val="12"/>
          <w:rFonts w:hint="eastAsia" w:ascii="仿宋_GB2312" w:hAnsi="仿宋_GB2312" w:eastAsia="仿宋_GB2312" w:cs="仿宋_GB2312"/>
          <w:b w:val="0"/>
          <w:bCs w:val="0"/>
          <w:kern w:val="2"/>
          <w:sz w:val="32"/>
          <w:szCs w:val="32"/>
          <w:shd w:val="clear" w:color="auto" w:fill="auto"/>
          <w:lang w:val="en-US" w:eastAsia="zh-CN" w:bidi="ar-SA"/>
        </w:rPr>
        <w:t>制造业</w:t>
      </w:r>
      <w:r>
        <w:rPr>
          <w:rStyle w:val="12"/>
          <w:rFonts w:hint="eastAsia" w:ascii="仿宋_GB2312" w:hAnsi="仿宋_GB2312" w:eastAsia="仿宋_GB2312" w:cs="仿宋_GB2312"/>
          <w:b w:val="0"/>
          <w:bCs w:val="0"/>
          <w:kern w:val="2"/>
          <w:sz w:val="32"/>
          <w:szCs w:val="32"/>
          <w:shd w:val="clear" w:color="auto" w:fill="auto"/>
          <w:lang w:bidi="ar-SA"/>
        </w:rPr>
        <w:t>企业数量</w:t>
      </w:r>
      <w:r>
        <w:rPr>
          <w:rStyle w:val="12"/>
          <w:rFonts w:hint="eastAsia" w:ascii="仿宋_GB2312" w:hAnsi="仿宋_GB2312" w:eastAsia="仿宋_GB2312" w:cs="仿宋_GB2312"/>
          <w:b w:val="0"/>
          <w:bCs w:val="0"/>
          <w:kern w:val="2"/>
          <w:sz w:val="32"/>
          <w:szCs w:val="32"/>
          <w:shd w:val="clear" w:color="auto" w:fill="auto"/>
          <w:lang w:eastAsia="zh-CN" w:bidi="ar-SA"/>
        </w:rPr>
        <w:t>及</w:t>
      </w:r>
      <w:r>
        <w:rPr>
          <w:rStyle w:val="12"/>
          <w:rFonts w:hint="eastAsia" w:ascii="仿宋_GB2312" w:hAnsi="仿宋_GB2312" w:eastAsia="仿宋_GB2312" w:cs="仿宋_GB2312"/>
          <w:b w:val="0"/>
          <w:bCs w:val="0"/>
          <w:kern w:val="2"/>
          <w:sz w:val="32"/>
          <w:szCs w:val="32"/>
          <w:shd w:val="clear" w:color="auto" w:fill="auto"/>
          <w:lang w:bidi="ar-SA"/>
        </w:rPr>
        <w:t>数字化</w:t>
      </w:r>
      <w:r>
        <w:rPr>
          <w:rStyle w:val="12"/>
          <w:rFonts w:hint="eastAsia" w:ascii="仿宋_GB2312" w:hAnsi="仿宋_GB2312" w:eastAsia="仿宋_GB2312" w:cs="仿宋_GB2312"/>
          <w:b w:val="0"/>
          <w:bCs w:val="0"/>
          <w:kern w:val="2"/>
          <w:sz w:val="32"/>
          <w:szCs w:val="32"/>
          <w:shd w:val="clear" w:color="auto" w:fill="auto"/>
          <w:lang w:eastAsia="zh-CN" w:bidi="ar-SA"/>
        </w:rPr>
        <w:t>转型现状</w:t>
      </w:r>
      <w:r>
        <w:rPr>
          <w:rStyle w:val="12"/>
          <w:rFonts w:hint="eastAsia" w:ascii="仿宋_GB2312" w:hAnsi="仿宋_GB2312" w:eastAsia="仿宋_GB2312" w:cs="仿宋_GB2312"/>
          <w:b w:val="0"/>
          <w:bCs w:val="0"/>
          <w:kern w:val="2"/>
          <w:sz w:val="32"/>
          <w:szCs w:val="32"/>
          <w:shd w:val="clear" w:color="auto" w:fill="auto"/>
          <w:lang w:bidi="ar-SA"/>
        </w:rPr>
        <w:t>。</w:t>
      </w:r>
    </w:p>
    <w:p>
      <w:pPr>
        <w:pStyle w:val="11"/>
        <w:widowControl w:val="0"/>
        <w:overflowPunct w:val="0"/>
        <w:adjustRightInd w:val="0"/>
        <w:snapToGrid w:val="0"/>
        <w:spacing w:before="0" w:beforeAutospacing="0" w:after="0" w:afterAutospacing="0" w:line="580" w:lineRule="exact"/>
        <w:ind w:firstLine="64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二、工作目标</w:t>
      </w:r>
    </w:p>
    <w:p>
      <w:pPr>
        <w:pStyle w:val="11"/>
        <w:widowControl w:val="0"/>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kern w:val="2"/>
          <w:sz w:val="32"/>
          <w:szCs w:val="32"/>
          <w:shd w:val="clear" w:color="auto" w:fill="auto"/>
          <w:lang w:eastAsia="zh-CN" w:bidi="ar-SA"/>
        </w:rPr>
      </w:pPr>
      <w:r>
        <w:rPr>
          <w:rStyle w:val="12"/>
          <w:rFonts w:hint="eastAsia" w:ascii="仿宋_GB2312" w:hAnsi="仿宋_GB2312" w:eastAsia="仿宋_GB2312" w:cs="仿宋_GB2312"/>
          <w:b w:val="0"/>
          <w:bCs w:val="0"/>
          <w:kern w:val="2"/>
          <w:sz w:val="32"/>
          <w:szCs w:val="32"/>
          <w:shd w:val="clear" w:color="auto" w:fill="auto"/>
          <w:lang w:bidi="ar-SA"/>
        </w:rPr>
        <w:t>结合所申报的</w:t>
      </w:r>
      <w:r>
        <w:rPr>
          <w:rStyle w:val="12"/>
          <w:rFonts w:hint="eastAsia" w:ascii="仿宋_GB2312" w:hAnsi="仿宋_GB2312" w:eastAsia="仿宋_GB2312" w:cs="仿宋_GB2312"/>
          <w:b w:val="0"/>
          <w:bCs w:val="0"/>
          <w:kern w:val="2"/>
          <w:sz w:val="32"/>
          <w:szCs w:val="32"/>
          <w:shd w:val="clear" w:color="auto" w:fill="auto"/>
          <w:lang w:val="en-US" w:bidi="ar-SA"/>
        </w:rPr>
        <w:t>产业链</w:t>
      </w:r>
      <w:r>
        <w:rPr>
          <w:rStyle w:val="12"/>
          <w:rFonts w:hint="eastAsia" w:ascii="仿宋_GB2312" w:hAnsi="仿宋_GB2312" w:eastAsia="仿宋_GB2312" w:cs="仿宋_GB2312"/>
          <w:b w:val="0"/>
          <w:bCs w:val="0"/>
          <w:kern w:val="2"/>
          <w:sz w:val="32"/>
          <w:szCs w:val="32"/>
          <w:shd w:val="clear" w:color="auto" w:fill="auto"/>
          <w:lang w:bidi="ar-SA"/>
        </w:rPr>
        <w:t>，以列表形式明确试点工作的总体绩效目标及</w:t>
      </w:r>
      <w:r>
        <w:rPr>
          <w:rStyle w:val="12"/>
          <w:rFonts w:hint="eastAsia" w:ascii="仿宋_GB2312" w:hAnsi="仿宋_GB2312" w:eastAsia="仿宋_GB2312" w:cs="仿宋_GB2312"/>
          <w:b w:val="0"/>
          <w:bCs w:val="0"/>
          <w:kern w:val="2"/>
          <w:sz w:val="32"/>
          <w:szCs w:val="32"/>
          <w:shd w:val="clear" w:color="auto" w:fill="auto"/>
          <w:lang w:eastAsia="zh-CN" w:bidi="ar-SA"/>
        </w:rPr>
        <w:t>中期</w:t>
      </w:r>
      <w:r>
        <w:rPr>
          <w:rStyle w:val="12"/>
          <w:rFonts w:hint="eastAsia" w:ascii="仿宋_GB2312" w:hAnsi="仿宋_GB2312" w:eastAsia="仿宋_GB2312" w:cs="仿宋_GB2312"/>
          <w:b w:val="0"/>
          <w:bCs w:val="0"/>
          <w:kern w:val="2"/>
          <w:sz w:val="32"/>
          <w:szCs w:val="32"/>
          <w:shd w:val="clear" w:color="auto" w:fill="auto"/>
          <w:lang w:bidi="ar-SA"/>
        </w:rPr>
        <w:t>目标，确保目标可</w:t>
      </w:r>
      <w:r>
        <w:rPr>
          <w:rStyle w:val="12"/>
          <w:rFonts w:hint="eastAsia" w:ascii="仿宋_GB2312" w:hAnsi="仿宋_GB2312" w:eastAsia="仿宋_GB2312" w:cs="仿宋_GB2312"/>
          <w:b w:val="0"/>
          <w:bCs w:val="0"/>
          <w:kern w:val="2"/>
          <w:sz w:val="32"/>
          <w:szCs w:val="32"/>
          <w:shd w:val="clear" w:color="auto" w:fill="auto"/>
          <w:lang w:eastAsia="zh-CN" w:bidi="ar-SA"/>
        </w:rPr>
        <w:t>量化、可</w:t>
      </w:r>
      <w:r>
        <w:rPr>
          <w:rStyle w:val="12"/>
          <w:rFonts w:hint="eastAsia" w:ascii="仿宋_GB2312" w:hAnsi="仿宋_GB2312" w:eastAsia="仿宋_GB2312" w:cs="仿宋_GB2312"/>
          <w:b w:val="0"/>
          <w:bCs w:val="0"/>
          <w:kern w:val="2"/>
          <w:sz w:val="32"/>
          <w:szCs w:val="32"/>
          <w:shd w:val="clear" w:color="auto" w:fill="auto"/>
          <w:lang w:bidi="ar-SA"/>
        </w:rPr>
        <w:t>考核</w:t>
      </w:r>
      <w:r>
        <w:rPr>
          <w:rStyle w:val="12"/>
          <w:rFonts w:hint="eastAsia" w:ascii="仿宋_GB2312" w:hAnsi="仿宋_GB2312" w:eastAsia="仿宋_GB2312" w:cs="仿宋_GB2312"/>
          <w:b w:val="0"/>
          <w:bCs w:val="0"/>
          <w:kern w:val="2"/>
          <w:sz w:val="32"/>
          <w:szCs w:val="32"/>
          <w:shd w:val="clear" w:color="auto" w:fill="auto"/>
          <w:lang w:eastAsia="zh-CN" w:bidi="ar-SA"/>
        </w:rPr>
        <w:t>。</w:t>
      </w:r>
    </w:p>
    <w:p>
      <w:pPr>
        <w:pStyle w:val="11"/>
        <w:widowControl w:val="0"/>
        <w:overflowPunct w:val="0"/>
        <w:adjustRightInd w:val="0"/>
        <w:snapToGrid w:val="0"/>
        <w:spacing w:before="0" w:beforeAutospacing="0" w:after="0" w:afterAutospacing="0" w:line="580" w:lineRule="exact"/>
        <w:ind w:firstLine="64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三、实施内容</w:t>
      </w:r>
    </w:p>
    <w:p>
      <w:pPr>
        <w:pStyle w:val="11"/>
        <w:widowControl w:val="0"/>
        <w:numPr>
          <w:ilvl w:val="0"/>
          <w:numId w:val="0"/>
        </w:numPr>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eastAsia="zh-CN" w:bidi="ar-SA"/>
        </w:rPr>
        <w:t>详细阐述</w:t>
      </w:r>
      <w:r>
        <w:rPr>
          <w:rStyle w:val="12"/>
          <w:rFonts w:hint="eastAsia" w:ascii="仿宋_GB2312" w:hAnsi="仿宋_GB2312" w:eastAsia="仿宋_GB2312" w:cs="仿宋_GB2312"/>
          <w:b w:val="0"/>
          <w:bCs w:val="0"/>
          <w:kern w:val="2"/>
          <w:sz w:val="32"/>
          <w:szCs w:val="32"/>
          <w:shd w:val="clear" w:color="auto" w:fill="auto"/>
          <w:lang w:bidi="ar-SA"/>
        </w:rPr>
        <w:t>具体实施</w:t>
      </w:r>
      <w:r>
        <w:rPr>
          <w:rStyle w:val="12"/>
          <w:rFonts w:hint="eastAsia" w:ascii="仿宋_GB2312" w:hAnsi="仿宋_GB2312" w:eastAsia="仿宋_GB2312" w:cs="仿宋_GB2312"/>
          <w:b w:val="0"/>
          <w:bCs w:val="0"/>
          <w:kern w:val="2"/>
          <w:sz w:val="32"/>
          <w:szCs w:val="32"/>
          <w:shd w:val="clear" w:color="auto" w:fill="auto"/>
          <w:lang w:eastAsia="zh-CN" w:bidi="ar-SA"/>
        </w:rPr>
        <w:t>内容、实施</w:t>
      </w:r>
      <w:r>
        <w:rPr>
          <w:rStyle w:val="12"/>
          <w:rFonts w:hint="eastAsia" w:ascii="仿宋_GB2312" w:hAnsi="仿宋_GB2312" w:eastAsia="仿宋_GB2312" w:cs="仿宋_GB2312"/>
          <w:b w:val="0"/>
          <w:bCs w:val="0"/>
          <w:kern w:val="2"/>
          <w:sz w:val="32"/>
          <w:szCs w:val="32"/>
          <w:shd w:val="clear" w:color="auto" w:fill="auto"/>
          <w:lang w:bidi="ar-SA"/>
        </w:rPr>
        <w:t>路径、分阶段工作任务、推进机制等，明确做什么、</w:t>
      </w:r>
      <w:r>
        <w:rPr>
          <w:rStyle w:val="12"/>
          <w:rFonts w:hint="eastAsia" w:ascii="仿宋_GB2312" w:hAnsi="仿宋_GB2312" w:eastAsia="仿宋_GB2312" w:cs="仿宋_GB2312"/>
          <w:b w:val="0"/>
          <w:bCs w:val="0"/>
          <w:kern w:val="2"/>
          <w:sz w:val="32"/>
          <w:szCs w:val="32"/>
          <w:shd w:val="clear" w:color="auto" w:fill="auto"/>
          <w:lang w:eastAsia="zh-CN" w:bidi="ar-SA"/>
        </w:rPr>
        <w:t>怎么做、</w:t>
      </w:r>
      <w:r>
        <w:rPr>
          <w:rStyle w:val="12"/>
          <w:rFonts w:hint="eastAsia" w:ascii="仿宋_GB2312" w:hAnsi="仿宋_GB2312" w:eastAsia="仿宋_GB2312" w:cs="仿宋_GB2312"/>
          <w:b w:val="0"/>
          <w:bCs w:val="0"/>
          <w:kern w:val="2"/>
          <w:sz w:val="32"/>
          <w:szCs w:val="32"/>
          <w:shd w:val="clear" w:color="auto" w:fill="auto"/>
          <w:lang w:bidi="ar-SA"/>
        </w:rPr>
        <w:t>谁来做、完成的时间节点等。</w:t>
      </w:r>
    </w:p>
    <w:p>
      <w:pPr>
        <w:pStyle w:val="11"/>
        <w:widowControl w:val="0"/>
        <w:overflowPunct w:val="0"/>
        <w:adjustRightInd w:val="0"/>
        <w:snapToGrid w:val="0"/>
        <w:spacing w:beforeAutospacing="0" w:after="0" w:afterAutospacing="0" w:line="580" w:lineRule="exact"/>
        <w:ind w:firstLine="640" w:firstLineChars="20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四、资金使用</w:t>
      </w:r>
    </w:p>
    <w:p>
      <w:pPr>
        <w:pStyle w:val="11"/>
        <w:widowControl w:val="0"/>
        <w:numPr>
          <w:ilvl w:val="0"/>
          <w:numId w:val="0"/>
        </w:numPr>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按照工作</w:t>
      </w:r>
      <w:r>
        <w:rPr>
          <w:rStyle w:val="12"/>
          <w:rFonts w:hint="eastAsia" w:ascii="仿宋_GB2312" w:hAnsi="仿宋_GB2312" w:eastAsia="仿宋_GB2312" w:cs="仿宋_GB2312"/>
          <w:b w:val="0"/>
          <w:bCs w:val="0"/>
          <w:kern w:val="2"/>
          <w:sz w:val="32"/>
          <w:szCs w:val="32"/>
          <w:shd w:val="clear" w:color="auto" w:fill="auto"/>
          <w:lang w:eastAsia="zh-CN" w:bidi="ar-SA"/>
        </w:rPr>
        <w:t>指南</w:t>
      </w:r>
      <w:r>
        <w:rPr>
          <w:rStyle w:val="12"/>
          <w:rFonts w:hint="eastAsia" w:ascii="仿宋_GB2312" w:hAnsi="仿宋_GB2312" w:eastAsia="仿宋_GB2312" w:cs="仿宋_GB2312"/>
          <w:b w:val="0"/>
          <w:bCs w:val="0"/>
          <w:kern w:val="2"/>
          <w:sz w:val="32"/>
          <w:szCs w:val="32"/>
          <w:shd w:val="clear" w:color="auto" w:fill="auto"/>
          <w:lang w:bidi="ar-SA"/>
        </w:rPr>
        <w:t>中规定的资金</w:t>
      </w:r>
      <w:r>
        <w:rPr>
          <w:rStyle w:val="12"/>
          <w:rFonts w:hint="eastAsia" w:ascii="仿宋_GB2312" w:hAnsi="仿宋_GB2312" w:eastAsia="仿宋_GB2312" w:cs="仿宋_GB2312"/>
          <w:b w:val="0"/>
          <w:bCs w:val="0"/>
          <w:kern w:val="2"/>
          <w:sz w:val="32"/>
          <w:szCs w:val="32"/>
          <w:shd w:val="clear" w:color="auto" w:fill="auto"/>
          <w:lang w:eastAsia="zh-CN" w:bidi="ar-SA"/>
        </w:rPr>
        <w:t>使用</w:t>
      </w:r>
      <w:r>
        <w:rPr>
          <w:rStyle w:val="12"/>
          <w:rFonts w:hint="eastAsia" w:ascii="仿宋_GB2312" w:hAnsi="仿宋_GB2312" w:eastAsia="仿宋_GB2312" w:cs="仿宋_GB2312"/>
          <w:b w:val="0"/>
          <w:bCs w:val="0"/>
          <w:kern w:val="2"/>
          <w:sz w:val="32"/>
          <w:szCs w:val="32"/>
          <w:shd w:val="clear" w:color="auto" w:fill="auto"/>
          <w:lang w:bidi="ar-SA"/>
        </w:rPr>
        <w:t>要求，明确资金的具体使用内容和金额概算。</w:t>
      </w:r>
    </w:p>
    <w:p>
      <w:pPr>
        <w:pStyle w:val="11"/>
        <w:widowControl w:val="0"/>
        <w:overflowPunct w:val="0"/>
        <w:adjustRightInd w:val="0"/>
        <w:snapToGrid w:val="0"/>
        <w:spacing w:beforeAutospacing="0" w:after="0" w:afterAutospacing="0" w:line="580" w:lineRule="exact"/>
        <w:ind w:firstLine="640" w:firstLineChars="20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五、保障措施</w:t>
      </w:r>
    </w:p>
    <w:p>
      <w:pPr>
        <w:pStyle w:val="11"/>
        <w:widowControl w:val="0"/>
        <w:numPr>
          <w:ilvl w:val="0"/>
          <w:numId w:val="0"/>
        </w:numPr>
        <w:shd w:val="clear" w:color="auto" w:fill="auto"/>
        <w:overflowPunct w:val="0"/>
        <w:adjustRightInd w:val="0"/>
        <w:snapToGrid w:val="0"/>
        <w:spacing w:before="0" w:beforeAutospacing="0" w:after="0" w:afterAutospacing="0" w:line="580" w:lineRule="exact"/>
        <w:ind w:firstLine="640" w:firstLineChars="200"/>
        <w:jc w:val="both"/>
        <w:outlineLvl w:val="1"/>
        <w:rPr>
          <w:rStyle w:val="12"/>
          <w:rFonts w:hint="eastAsia" w:ascii="仿宋_GB2312" w:hAnsi="仿宋_GB2312" w:eastAsia="仿宋_GB2312" w:cs="仿宋_GB2312"/>
          <w:b w:val="0"/>
          <w:b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支持试点工作的配套保障措施储备情况，包括但不限于政策配套、资金配套、人才配套、服务配套等。</w:t>
      </w:r>
    </w:p>
    <w:p>
      <w:pPr>
        <w:pStyle w:val="11"/>
        <w:widowControl w:val="0"/>
        <w:overflowPunct w:val="0"/>
        <w:adjustRightInd w:val="0"/>
        <w:snapToGrid w:val="0"/>
        <w:spacing w:beforeAutospacing="0" w:after="0" w:afterAutospacing="0" w:line="580" w:lineRule="exact"/>
        <w:ind w:firstLine="640" w:firstLineChars="200"/>
        <w:jc w:val="both"/>
        <w:outlineLvl w:val="0"/>
        <w:rPr>
          <w:rStyle w:val="13"/>
          <w:rFonts w:hint="eastAsia" w:ascii="黑体" w:hAnsi="黑体" w:eastAsia="黑体" w:cs="黑体"/>
          <w:b w:val="0"/>
          <w:bCs/>
          <w:sz w:val="32"/>
          <w:szCs w:val="32"/>
        </w:rPr>
      </w:pPr>
      <w:r>
        <w:rPr>
          <w:rStyle w:val="13"/>
          <w:rFonts w:hint="eastAsia" w:ascii="黑体" w:hAnsi="黑体" w:eastAsia="黑体" w:cs="黑体"/>
          <w:b w:val="0"/>
          <w:bCs/>
          <w:sz w:val="32"/>
          <w:szCs w:val="32"/>
        </w:rPr>
        <w:t>六、其他材料</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firstLine="640"/>
        <w:jc w:val="both"/>
        <w:textAlignment w:val="auto"/>
        <w:rPr>
          <w:rStyle w:val="12"/>
          <w:rFonts w:hint="eastAsia" w:ascii="仿宋_GB2312" w:hAnsi="仿宋_GB2312" w:eastAsia="仿宋_GB2312" w:cs="仿宋_GB2312"/>
          <w:b w:val="0"/>
          <w:bCs w:val="0"/>
          <w:kern w:val="2"/>
          <w:sz w:val="32"/>
          <w:szCs w:val="32"/>
          <w:shd w:val="clear" w:color="auto" w:fill="auto"/>
          <w:lang w:bidi="ar-SA"/>
        </w:rPr>
      </w:pPr>
      <w:r>
        <w:rPr>
          <w:rStyle w:val="12"/>
          <w:rFonts w:hint="eastAsia" w:ascii="仿宋_GB2312" w:hAnsi="仿宋_GB2312" w:eastAsia="仿宋_GB2312" w:cs="仿宋_GB2312"/>
          <w:b w:val="0"/>
          <w:bCs w:val="0"/>
          <w:kern w:val="2"/>
          <w:sz w:val="32"/>
          <w:szCs w:val="32"/>
          <w:shd w:val="clear" w:color="auto" w:fill="auto"/>
          <w:lang w:bidi="ar-SA"/>
        </w:rPr>
        <w:t>试点</w:t>
      </w:r>
      <w:r>
        <w:rPr>
          <w:rStyle w:val="12"/>
          <w:rFonts w:hint="eastAsia" w:ascii="仿宋_GB2312" w:hAnsi="仿宋_GB2312" w:eastAsia="仿宋_GB2312" w:cs="仿宋_GB2312"/>
          <w:b w:val="0"/>
          <w:bCs w:val="0"/>
          <w:kern w:val="2"/>
          <w:sz w:val="32"/>
          <w:szCs w:val="32"/>
          <w:shd w:val="clear" w:color="auto" w:fill="auto"/>
          <w:lang w:val="en-US" w:bidi="ar-SA"/>
        </w:rPr>
        <w:t>盟市产业链</w:t>
      </w:r>
      <w:r>
        <w:rPr>
          <w:rStyle w:val="12"/>
          <w:rFonts w:hint="eastAsia" w:ascii="仿宋_GB2312" w:hAnsi="仿宋_GB2312" w:eastAsia="仿宋_GB2312" w:cs="仿宋_GB2312"/>
          <w:b w:val="0"/>
          <w:bCs w:val="0"/>
          <w:kern w:val="2"/>
          <w:sz w:val="32"/>
          <w:szCs w:val="32"/>
          <w:shd w:val="clear" w:color="auto" w:fill="auto"/>
          <w:lang w:val="en-US" w:eastAsia="zh-CN" w:bidi="ar-SA"/>
        </w:rPr>
        <w:t>相关</w:t>
      </w:r>
      <w:r>
        <w:rPr>
          <w:rStyle w:val="12"/>
          <w:rFonts w:hint="eastAsia" w:ascii="仿宋_GB2312" w:hAnsi="仿宋_GB2312" w:eastAsia="仿宋_GB2312" w:cs="仿宋_GB2312"/>
          <w:b w:val="0"/>
          <w:bCs w:val="0"/>
          <w:kern w:val="2"/>
          <w:sz w:val="32"/>
          <w:szCs w:val="32"/>
          <w:shd w:val="clear" w:color="auto" w:fill="auto"/>
          <w:lang w:bidi="ar-SA"/>
        </w:rPr>
        <w:t>企业名单（企业名称、企业信用代码、</w:t>
      </w:r>
      <w:r>
        <w:rPr>
          <w:rStyle w:val="12"/>
          <w:rFonts w:hint="eastAsia" w:ascii="仿宋_GB2312" w:hAnsi="仿宋_GB2312" w:eastAsia="仿宋_GB2312" w:cs="仿宋_GB2312"/>
          <w:b w:val="0"/>
          <w:bCs w:val="0"/>
          <w:kern w:val="2"/>
          <w:sz w:val="32"/>
          <w:szCs w:val="32"/>
          <w:shd w:val="clear" w:color="auto" w:fill="auto"/>
          <w:lang w:eastAsia="zh-CN" w:bidi="ar-SA"/>
        </w:rPr>
        <w:t>上一</w:t>
      </w:r>
      <w:r>
        <w:rPr>
          <w:rStyle w:val="12"/>
          <w:rFonts w:hint="eastAsia" w:ascii="仿宋_GB2312" w:hAnsi="仿宋_GB2312" w:eastAsia="仿宋_GB2312" w:cs="仿宋_GB2312"/>
          <w:b w:val="0"/>
          <w:bCs w:val="0"/>
          <w:kern w:val="2"/>
          <w:sz w:val="32"/>
          <w:szCs w:val="32"/>
          <w:shd w:val="clear" w:color="auto" w:fill="auto"/>
          <w:lang w:bidi="ar-SA"/>
        </w:rPr>
        <w:t>年度主营业务收入，是否为</w:t>
      </w:r>
      <w:r>
        <w:rPr>
          <w:rStyle w:val="12"/>
          <w:rFonts w:hint="eastAsia" w:ascii="仿宋_GB2312" w:hAnsi="仿宋_GB2312" w:eastAsia="仿宋_GB2312" w:cs="仿宋_GB2312"/>
          <w:b w:val="0"/>
          <w:bCs w:val="0"/>
          <w:sz w:val="32"/>
          <w:szCs w:val="32"/>
          <w:shd w:val="clear" w:color="auto" w:fill="auto"/>
          <w:lang w:bidi="ar-SA"/>
        </w:rPr>
        <w:t>专精特新企业</w:t>
      </w:r>
      <w:r>
        <w:rPr>
          <w:rStyle w:val="12"/>
          <w:rFonts w:hint="eastAsia" w:ascii="仿宋_GB2312" w:hAnsi="仿宋_GB2312" w:eastAsia="仿宋_GB2312" w:cs="仿宋_GB2312"/>
          <w:b w:val="0"/>
          <w:bCs w:val="0"/>
          <w:kern w:val="2"/>
          <w:sz w:val="32"/>
          <w:szCs w:val="32"/>
          <w:shd w:val="clear" w:color="auto" w:fill="auto"/>
          <w:lang w:bidi="ar-SA"/>
        </w:rPr>
        <w:t>等），以及能够体现申报</w:t>
      </w:r>
      <w:r>
        <w:rPr>
          <w:rStyle w:val="12"/>
          <w:rFonts w:hint="eastAsia" w:ascii="仿宋_GB2312" w:hAnsi="仿宋_GB2312" w:eastAsia="仿宋_GB2312" w:cs="仿宋_GB2312"/>
          <w:b w:val="0"/>
          <w:bCs w:val="0"/>
          <w:kern w:val="2"/>
          <w:sz w:val="32"/>
          <w:szCs w:val="32"/>
          <w:shd w:val="clear" w:color="auto" w:fill="auto"/>
          <w:lang w:eastAsia="zh-CN" w:bidi="ar-SA"/>
        </w:rPr>
        <w:t>单位具备</w:t>
      </w:r>
      <w:r>
        <w:rPr>
          <w:rStyle w:val="12"/>
          <w:rFonts w:hint="eastAsia" w:ascii="仿宋_GB2312" w:hAnsi="仿宋_GB2312" w:eastAsia="仿宋_GB2312" w:cs="仿宋_GB2312"/>
          <w:b w:val="0"/>
          <w:bCs w:val="0"/>
          <w:kern w:val="2"/>
          <w:sz w:val="32"/>
          <w:szCs w:val="32"/>
          <w:shd w:val="clear" w:color="auto" w:fill="auto"/>
          <w:lang w:bidi="ar-SA"/>
        </w:rPr>
        <w:t>开展</w:t>
      </w:r>
      <w:r>
        <w:rPr>
          <w:rStyle w:val="12"/>
          <w:rFonts w:hint="eastAsia" w:ascii="仿宋_GB2312" w:hAnsi="仿宋_GB2312" w:eastAsia="仿宋_GB2312" w:cs="仿宋_GB2312"/>
          <w:b w:val="0"/>
          <w:bCs w:val="0"/>
          <w:kern w:val="2"/>
          <w:sz w:val="32"/>
          <w:szCs w:val="32"/>
          <w:shd w:val="clear" w:color="auto" w:fill="auto"/>
          <w:lang w:eastAsia="zh-CN" w:bidi="ar-SA"/>
        </w:rPr>
        <w:t>该项</w:t>
      </w:r>
      <w:r>
        <w:rPr>
          <w:rStyle w:val="12"/>
          <w:rFonts w:hint="eastAsia" w:ascii="仿宋_GB2312" w:hAnsi="仿宋_GB2312" w:eastAsia="仿宋_GB2312" w:cs="仿宋_GB2312"/>
          <w:b w:val="0"/>
          <w:bCs w:val="0"/>
          <w:kern w:val="2"/>
          <w:sz w:val="32"/>
          <w:szCs w:val="32"/>
          <w:shd w:val="clear" w:color="auto" w:fill="auto"/>
          <w:lang w:bidi="ar-SA"/>
        </w:rPr>
        <w:t>工作</w:t>
      </w:r>
      <w:r>
        <w:rPr>
          <w:rStyle w:val="12"/>
          <w:rFonts w:hint="eastAsia" w:ascii="仿宋_GB2312" w:hAnsi="仿宋_GB2312" w:eastAsia="仿宋_GB2312" w:cs="仿宋_GB2312"/>
          <w:b w:val="0"/>
          <w:bCs w:val="0"/>
          <w:kern w:val="2"/>
          <w:sz w:val="32"/>
          <w:szCs w:val="32"/>
          <w:shd w:val="clear" w:color="auto" w:fill="auto"/>
          <w:lang w:eastAsia="zh-CN" w:bidi="ar-SA"/>
        </w:rPr>
        <w:t>能力</w:t>
      </w:r>
      <w:r>
        <w:rPr>
          <w:rStyle w:val="12"/>
          <w:rFonts w:hint="eastAsia" w:ascii="仿宋_GB2312" w:hAnsi="仿宋_GB2312" w:eastAsia="仿宋_GB2312" w:cs="仿宋_GB2312"/>
          <w:b w:val="0"/>
          <w:bCs w:val="0"/>
          <w:kern w:val="2"/>
          <w:sz w:val="32"/>
          <w:szCs w:val="32"/>
          <w:shd w:val="clear" w:color="auto" w:fill="auto"/>
          <w:lang w:bidi="ar-SA"/>
        </w:rPr>
        <w:t>的证明材料。</w:t>
      </w:r>
    </w:p>
    <w:p>
      <w:pPr>
        <w:spacing w:line="600" w:lineRule="exact"/>
        <w:rPr>
          <w:rFonts w:hint="eastAsia" w:ascii="Times New Roman" w:hAnsi="Times New Roman" w:eastAsia="方正小标宋简体" w:cs="方正小标宋简体"/>
          <w:color w:val="000000"/>
          <w:sz w:val="36"/>
          <w:szCs w:val="36"/>
          <w:highlight w:val="none"/>
        </w:rPr>
      </w:pPr>
      <w:r>
        <w:rPr>
          <w:rFonts w:hint="eastAsia" w:ascii="黑体" w:hAnsi="黑体" w:eastAsia="黑体" w:cs="黑体"/>
          <w:color w:val="000000"/>
          <w:sz w:val="32"/>
          <w:szCs w:val="32"/>
          <w:shd w:val="clear" w:color="auto" w:fill="FFFFFF"/>
          <w:lang w:val="en-US" w:eastAsia="zh-CN"/>
        </w:rPr>
        <w:t>附</w:t>
      </w:r>
      <w:r>
        <w:rPr>
          <w:rFonts w:hint="default" w:ascii="黑体" w:hAnsi="黑体" w:eastAsia="黑体" w:cs="黑体"/>
          <w:color w:val="000000"/>
          <w:sz w:val="32"/>
          <w:szCs w:val="32"/>
          <w:shd w:val="clear" w:color="auto" w:fill="FFFFFF"/>
          <w:lang w:eastAsia="zh-CN"/>
        </w:rPr>
        <w:t>2</w:t>
      </w:r>
    </w:p>
    <w:p>
      <w:pPr>
        <w:tabs>
          <w:tab w:val="left" w:pos="2646"/>
        </w:tabs>
        <w:adjustRightInd/>
        <w:snapToGrid/>
        <w:spacing w:line="240" w:lineRule="auto"/>
        <w:jc w:val="center"/>
        <w:rPr>
          <w:rFonts w:hint="eastAsia" w:ascii="方正小标宋简体" w:hAnsi="方正小标宋简体" w:eastAsia="方正小标宋简体" w:cs="方正小标宋简体"/>
          <w:color w:val="000000"/>
          <w:spacing w:val="-17"/>
          <w:sz w:val="44"/>
          <w:szCs w:val="44"/>
          <w:highlight w:val="none"/>
        </w:rPr>
      </w:pPr>
      <w:r>
        <w:rPr>
          <w:rFonts w:hint="eastAsia" w:ascii="方正小标宋简体" w:hAnsi="方正小标宋简体" w:eastAsia="方正小标宋简体" w:cs="方正小标宋简体"/>
          <w:color w:val="000000"/>
          <w:spacing w:val="-17"/>
          <w:sz w:val="44"/>
          <w:szCs w:val="44"/>
          <w:highlight w:val="none"/>
        </w:rPr>
        <w:t>202</w:t>
      </w:r>
      <w:r>
        <w:rPr>
          <w:rFonts w:hint="eastAsia" w:ascii="方正小标宋简体" w:hAnsi="方正小标宋简体" w:eastAsia="方正小标宋简体" w:cs="方正小标宋简体"/>
          <w:color w:val="000000"/>
          <w:spacing w:val="-17"/>
          <w:sz w:val="44"/>
          <w:szCs w:val="44"/>
          <w:highlight w:val="none"/>
          <w:lang w:val="en-US" w:eastAsia="zh-Hans"/>
        </w:rPr>
        <w:t>X</w:t>
      </w:r>
      <w:r>
        <w:rPr>
          <w:rFonts w:hint="eastAsia" w:ascii="方正小标宋简体" w:hAnsi="方正小标宋简体" w:eastAsia="方正小标宋简体" w:cs="方正小标宋简体"/>
          <w:color w:val="000000"/>
          <w:spacing w:val="-17"/>
          <w:sz w:val="44"/>
          <w:szCs w:val="44"/>
          <w:highlight w:val="none"/>
        </w:rPr>
        <w:t>年X</w:t>
      </w:r>
      <w:r>
        <w:rPr>
          <w:rFonts w:hint="eastAsia" w:ascii="方正小标宋简体" w:hAnsi="方正小标宋简体" w:eastAsia="方正小标宋简体" w:cs="方正小标宋简体"/>
          <w:color w:val="000000"/>
          <w:spacing w:val="-17"/>
          <w:sz w:val="44"/>
          <w:szCs w:val="44"/>
          <w:highlight w:val="none"/>
          <w:lang w:eastAsia="zh-CN"/>
        </w:rPr>
        <w:t>盟（市）</w:t>
      </w:r>
      <w:r>
        <w:rPr>
          <w:rFonts w:hint="eastAsia" w:ascii="方正小标宋简体" w:hAnsi="方正小标宋简体" w:eastAsia="方正小标宋简体" w:cs="方正小标宋简体"/>
          <w:color w:val="000000"/>
          <w:spacing w:val="-17"/>
          <w:sz w:val="44"/>
          <w:szCs w:val="44"/>
          <w:highlight w:val="none"/>
        </w:rPr>
        <w:t>数字化转型绩效</w:t>
      </w:r>
      <w:r>
        <w:rPr>
          <w:rFonts w:hint="eastAsia" w:ascii="方正小标宋简体" w:hAnsi="方正小标宋简体" w:eastAsia="方正小标宋简体" w:cs="方正小标宋简体"/>
          <w:color w:val="000000"/>
          <w:spacing w:val="-17"/>
          <w:sz w:val="44"/>
          <w:szCs w:val="44"/>
          <w:highlight w:val="none"/>
          <w:lang w:eastAsia="zh-CN"/>
        </w:rPr>
        <w:t>评价</w:t>
      </w:r>
      <w:r>
        <w:rPr>
          <w:rFonts w:hint="eastAsia" w:ascii="方正小标宋简体" w:hAnsi="方正小标宋简体" w:eastAsia="方正小标宋简体" w:cs="方正小标宋简体"/>
          <w:color w:val="000000"/>
          <w:spacing w:val="-17"/>
          <w:sz w:val="44"/>
          <w:szCs w:val="44"/>
          <w:highlight w:val="none"/>
        </w:rPr>
        <w:t>目标表</w:t>
      </w:r>
    </w:p>
    <w:p>
      <w:pPr>
        <w:tabs>
          <w:tab w:val="left" w:pos="2646"/>
        </w:tabs>
        <w:adjustRightInd/>
        <w:snapToGrid/>
        <w:spacing w:line="240" w:lineRule="auto"/>
        <w:jc w:val="left"/>
        <w:rPr>
          <w:rFonts w:hint="eastAsia"/>
          <w:sz w:val="28"/>
          <w:szCs w:val="28"/>
        </w:rPr>
      </w:pPr>
      <w:r>
        <w:rPr>
          <w:rFonts w:hint="eastAsia" w:ascii="Times New Roman" w:hAnsi="Times New Roman" w:cs="仿宋_GB2312"/>
          <w:sz w:val="28"/>
          <w:szCs w:val="28"/>
          <w:highlight w:val="none"/>
          <w:lang w:eastAsia="zh-CN"/>
        </w:rPr>
        <w:t>盟（市）工信部门</w:t>
      </w:r>
      <w:r>
        <w:rPr>
          <w:rFonts w:hint="eastAsia" w:ascii="Times New Roman" w:hAnsi="Times New Roman" w:cs="仿宋_GB2312"/>
          <w:sz w:val="28"/>
          <w:szCs w:val="28"/>
          <w:highlight w:val="none"/>
        </w:rPr>
        <w:t>：</w:t>
      </w:r>
      <w:r>
        <w:rPr>
          <w:rFonts w:hint="eastAsia" w:ascii="Times New Roman" w:hAnsi="Times New Roman" w:cs="仿宋_GB2312"/>
          <w:sz w:val="28"/>
          <w:szCs w:val="28"/>
          <w:highlight w:val="none"/>
          <w:u w:val="single"/>
        </w:rPr>
        <w:t xml:space="preserve">      </w:t>
      </w:r>
      <w:r>
        <w:rPr>
          <w:rFonts w:hint="eastAsia" w:ascii="Times New Roman" w:hAnsi="Times New Roman" w:cs="仿宋_GB2312"/>
          <w:sz w:val="28"/>
          <w:szCs w:val="28"/>
          <w:highlight w:val="none"/>
          <w:u w:val="single"/>
          <w:lang w:val="en-US" w:eastAsia="zh-CN"/>
        </w:rPr>
        <w:t xml:space="preserve">        </w:t>
      </w:r>
      <w:r>
        <w:rPr>
          <w:rFonts w:hint="eastAsia" w:ascii="Times New Roman" w:hAnsi="Times New Roman" w:cs="仿宋_GB2312"/>
          <w:sz w:val="28"/>
          <w:szCs w:val="28"/>
          <w:highlight w:val="none"/>
          <w:u w:val="single"/>
        </w:rPr>
        <w:t xml:space="preserve">                 </w:t>
      </w:r>
      <w:r>
        <w:rPr>
          <w:rFonts w:hint="eastAsia" w:ascii="Times New Roman" w:hAnsi="Times New Roman" w:cs="仿宋_GB2312"/>
          <w:sz w:val="28"/>
          <w:szCs w:val="28"/>
          <w:highlight w:val="none"/>
        </w:rPr>
        <w:t xml:space="preserve"> （盖章）</w:t>
      </w:r>
    </w:p>
    <w:tbl>
      <w:tblPr>
        <w:tblStyle w:val="15"/>
        <w:tblW w:w="94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697"/>
        <w:gridCol w:w="4464"/>
        <w:gridCol w:w="9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黑体" w:hAnsi="黑体" w:eastAsia="黑体" w:cs="黑体"/>
                <w:b w:val="0"/>
                <w:bCs w:val="0"/>
                <w:color w:val="000000"/>
                <w:spacing w:val="0"/>
                <w:kern w:val="0"/>
                <w:sz w:val="24"/>
                <w:szCs w:val="24"/>
                <w:highlight w:val="none"/>
              </w:rPr>
            </w:pPr>
            <w:r>
              <w:rPr>
                <w:rFonts w:hint="eastAsia" w:ascii="黑体" w:hAnsi="黑体" w:eastAsia="黑体" w:cs="黑体"/>
                <w:b w:val="0"/>
                <w:bCs w:val="0"/>
                <w:color w:val="000000"/>
                <w:spacing w:val="0"/>
                <w:kern w:val="0"/>
                <w:sz w:val="24"/>
                <w:szCs w:val="24"/>
                <w:highlight w:val="none"/>
              </w:rPr>
              <w:t>一级指标</w:t>
            </w:r>
          </w:p>
        </w:tc>
        <w:tc>
          <w:tcPr>
            <w:tcW w:w="1697"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黑体" w:hAnsi="黑体" w:eastAsia="黑体" w:cs="黑体"/>
                <w:b w:val="0"/>
                <w:bCs w:val="0"/>
                <w:color w:val="000000"/>
                <w:spacing w:val="0"/>
                <w:kern w:val="0"/>
                <w:sz w:val="24"/>
                <w:szCs w:val="24"/>
                <w:highlight w:val="none"/>
              </w:rPr>
            </w:pPr>
            <w:r>
              <w:rPr>
                <w:rFonts w:hint="eastAsia" w:ascii="黑体" w:hAnsi="黑体" w:eastAsia="黑体" w:cs="黑体"/>
                <w:b w:val="0"/>
                <w:bCs w:val="0"/>
                <w:color w:val="000000"/>
                <w:spacing w:val="0"/>
                <w:kern w:val="0"/>
                <w:sz w:val="24"/>
                <w:szCs w:val="24"/>
                <w:highlight w:val="none"/>
              </w:rPr>
              <w:t>二级指标</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黑体" w:hAnsi="黑体" w:eastAsia="黑体" w:cs="黑体"/>
                <w:b w:val="0"/>
                <w:bCs w:val="0"/>
                <w:color w:val="000000"/>
                <w:spacing w:val="0"/>
                <w:kern w:val="0"/>
                <w:sz w:val="24"/>
                <w:szCs w:val="24"/>
                <w:highlight w:val="none"/>
              </w:rPr>
            </w:pPr>
            <w:r>
              <w:rPr>
                <w:rFonts w:hint="eastAsia" w:ascii="黑体" w:hAnsi="黑体" w:eastAsia="黑体" w:cs="黑体"/>
                <w:b w:val="0"/>
                <w:bCs w:val="0"/>
                <w:color w:val="000000"/>
                <w:spacing w:val="0"/>
                <w:kern w:val="0"/>
                <w:sz w:val="24"/>
                <w:szCs w:val="24"/>
                <w:highlight w:val="none"/>
              </w:rPr>
              <w:t>三级指标</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黑体" w:hAnsi="黑体" w:eastAsia="黑体" w:cs="黑体"/>
                <w:b w:val="0"/>
                <w:bCs w:val="0"/>
                <w:color w:val="000000"/>
                <w:spacing w:val="0"/>
                <w:kern w:val="0"/>
                <w:sz w:val="24"/>
                <w:szCs w:val="24"/>
                <w:highlight w:val="none"/>
              </w:rPr>
            </w:pPr>
            <w:r>
              <w:rPr>
                <w:rFonts w:hint="eastAsia" w:ascii="黑体" w:hAnsi="黑体" w:eastAsia="黑体" w:cs="黑体"/>
                <w:b w:val="0"/>
                <w:bCs w:val="0"/>
                <w:color w:val="000000"/>
                <w:spacing w:val="0"/>
                <w:kern w:val="0"/>
                <w:sz w:val="24"/>
                <w:szCs w:val="24"/>
                <w:highlight w:val="none"/>
                <w:lang w:eastAsia="zh-CN"/>
              </w:rPr>
              <w:t>期初值</w:t>
            </w: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黑体" w:hAnsi="黑体" w:eastAsia="黑体" w:cs="黑体"/>
                <w:b w:val="0"/>
                <w:bCs w:val="0"/>
                <w:color w:val="000000"/>
                <w:spacing w:val="0"/>
                <w:kern w:val="0"/>
                <w:sz w:val="24"/>
                <w:szCs w:val="24"/>
                <w:highlight w:val="none"/>
              </w:rPr>
            </w:pPr>
            <w:r>
              <w:rPr>
                <w:rFonts w:hint="eastAsia" w:ascii="黑体" w:hAnsi="黑体" w:eastAsia="黑体" w:cs="黑体"/>
                <w:b w:val="0"/>
                <w:bCs w:val="0"/>
                <w:color w:val="000000"/>
                <w:spacing w:val="0"/>
                <w:kern w:val="0"/>
                <w:sz w:val="24"/>
                <w:szCs w:val="24"/>
                <w:highlight w:val="none"/>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关键指标</w:t>
            </w: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企业集聚</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规上</w:t>
            </w:r>
            <w:r>
              <w:rPr>
                <w:rFonts w:hint="eastAsia" w:ascii="宋体" w:hAnsi="宋体" w:eastAsia="宋体" w:cs="宋体"/>
                <w:color w:val="000000"/>
                <w:spacing w:val="0"/>
                <w:kern w:val="0"/>
                <w:sz w:val="24"/>
                <w:szCs w:val="24"/>
                <w:highlight w:val="none"/>
                <w:lang w:val="en-US" w:eastAsia="zh-Hans"/>
              </w:rPr>
              <w:t>制造业</w:t>
            </w:r>
            <w:r>
              <w:rPr>
                <w:rFonts w:hint="eastAsia" w:ascii="宋体" w:hAnsi="宋体" w:eastAsia="宋体" w:cs="宋体"/>
                <w:color w:val="000000"/>
                <w:spacing w:val="0"/>
                <w:kern w:val="0"/>
                <w:sz w:val="24"/>
                <w:szCs w:val="24"/>
                <w:highlight w:val="none"/>
                <w:lang w:eastAsia="zh-CN"/>
              </w:rPr>
              <w:t>企业</w:t>
            </w:r>
            <w:r>
              <w:rPr>
                <w:rFonts w:hint="eastAsia" w:ascii="宋体" w:hAnsi="宋体" w:eastAsia="宋体" w:cs="宋体"/>
                <w:color w:val="000000"/>
                <w:spacing w:val="0"/>
                <w:kern w:val="0"/>
                <w:sz w:val="24"/>
                <w:szCs w:val="24"/>
                <w:highlight w:val="none"/>
                <w:lang w:val="en-US" w:eastAsia="zh-CN"/>
              </w:rPr>
              <w:t>（家）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规下</w:t>
            </w:r>
            <w:r>
              <w:rPr>
                <w:rFonts w:hint="eastAsia" w:ascii="宋体" w:hAnsi="宋体" w:eastAsia="宋体" w:cs="宋体"/>
                <w:color w:val="000000"/>
                <w:spacing w:val="0"/>
                <w:kern w:val="0"/>
                <w:sz w:val="24"/>
                <w:szCs w:val="24"/>
                <w:highlight w:val="none"/>
                <w:lang w:val="en-US" w:eastAsia="zh-Hans"/>
              </w:rPr>
              <w:t>制造业</w:t>
            </w:r>
            <w:r>
              <w:rPr>
                <w:rFonts w:hint="eastAsia" w:ascii="宋体" w:hAnsi="宋体" w:eastAsia="宋体" w:cs="宋体"/>
                <w:color w:val="000000"/>
                <w:spacing w:val="0"/>
                <w:kern w:val="0"/>
                <w:sz w:val="24"/>
                <w:szCs w:val="24"/>
                <w:highlight w:val="none"/>
                <w:lang w:eastAsia="zh-CN"/>
              </w:rPr>
              <w:t>企业</w:t>
            </w:r>
            <w:r>
              <w:rPr>
                <w:rFonts w:hint="eastAsia" w:ascii="宋体" w:hAnsi="宋体" w:eastAsia="宋体" w:cs="宋体"/>
                <w:color w:val="000000"/>
                <w:spacing w:val="0"/>
                <w:kern w:val="0"/>
                <w:sz w:val="24"/>
                <w:szCs w:val="24"/>
                <w:highlight w:val="none"/>
                <w:lang w:val="en-US" w:eastAsia="zh-CN"/>
              </w:rPr>
              <w:t>（家）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自治区级“专精特新”企业（家）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国家级“专精特新”企业（家）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val="en-US" w:eastAsia="zh-Hans"/>
              </w:rPr>
              <w:t>专精特新</w:t>
            </w:r>
            <w:r>
              <w:rPr>
                <w:rFonts w:hint="eastAsia" w:ascii="宋体" w:hAnsi="宋体" w:eastAsia="宋体" w:cs="宋体"/>
                <w:color w:val="000000"/>
                <w:spacing w:val="0"/>
                <w:kern w:val="0"/>
                <w:sz w:val="24"/>
                <w:szCs w:val="24"/>
                <w:highlight w:val="none"/>
                <w:lang w:eastAsia="zh-CN"/>
              </w:rPr>
              <w:t>“小巨人”企业（家）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平台建设</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企业级工业互联网平台（个）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行业级工业互联网平台（个）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区域级工业互联网平台（个）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国家双跨平台（个）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标杆树立</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val="en-US" w:eastAsia="zh-CN"/>
              </w:rPr>
              <w:t>自治区数字化转型示范标杆企业（家）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val="en-US" w:eastAsia="zh-CN"/>
              </w:rPr>
              <w:t>国家级标杆企业（家）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上云用数赋智</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企业上云率（</w:t>
            </w:r>
            <w:r>
              <w:rPr>
                <w:rFonts w:hint="eastAsia" w:ascii="宋体" w:hAnsi="宋体" w:eastAsia="宋体" w:cs="宋体"/>
                <w:color w:val="000000"/>
                <w:spacing w:val="0"/>
                <w:kern w:val="0"/>
                <w:sz w:val="24"/>
                <w:szCs w:val="24"/>
                <w:highlight w:val="none"/>
                <w:lang w:val="en-US" w:eastAsia="zh-CN"/>
              </w:rPr>
              <w:t>%</w:t>
            </w:r>
            <w:r>
              <w:rPr>
                <w:rFonts w:hint="eastAsia" w:ascii="宋体" w:hAnsi="宋体" w:eastAsia="宋体" w:cs="宋体"/>
                <w:color w:val="000000"/>
                <w:spacing w:val="0"/>
                <w:kern w:val="0"/>
                <w:sz w:val="24"/>
                <w:szCs w:val="24"/>
                <w:highlight w:val="none"/>
                <w:lang w:eastAsia="zh-CN"/>
              </w:rPr>
              <w:t>）</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数字车间（个）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lang w:eastAsia="zh-CN"/>
              </w:rPr>
              <w:t>智能工厂（个）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服务商引育</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引进平台服务商</w:t>
            </w:r>
            <w:r>
              <w:rPr>
                <w:rFonts w:hint="eastAsia" w:ascii="宋体" w:hAnsi="宋体" w:eastAsia="宋体" w:cs="宋体"/>
                <w:color w:val="000000"/>
                <w:spacing w:val="0"/>
                <w:kern w:val="0"/>
                <w:sz w:val="24"/>
                <w:szCs w:val="24"/>
                <w:highlight w:val="none"/>
                <w:lang w:val="en-US" w:eastAsia="zh-CN"/>
              </w:rPr>
              <w:t>（家）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培育平台服务商</w:t>
            </w:r>
            <w:r>
              <w:rPr>
                <w:rFonts w:hint="eastAsia" w:ascii="宋体" w:hAnsi="宋体" w:eastAsia="宋体" w:cs="宋体"/>
                <w:color w:val="000000"/>
                <w:spacing w:val="0"/>
                <w:kern w:val="0"/>
                <w:sz w:val="24"/>
                <w:szCs w:val="24"/>
                <w:highlight w:val="none"/>
                <w:lang w:val="en-US" w:eastAsia="zh-CN"/>
              </w:rPr>
              <w:t>（家）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rPr>
              <w:t>总体成效</w:t>
            </w: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lang w:eastAsia="zh-CN"/>
              </w:rPr>
              <w:t>数字化改造</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rPr>
            </w:pPr>
            <w:r>
              <w:rPr>
                <w:rFonts w:hint="eastAsia" w:ascii="宋体" w:hAnsi="宋体" w:eastAsia="宋体" w:cs="宋体"/>
                <w:color w:val="000000"/>
                <w:spacing w:val="0"/>
                <w:kern w:val="0"/>
                <w:sz w:val="24"/>
                <w:szCs w:val="24"/>
                <w:highlight w:val="none"/>
                <w:lang w:val="en-US" w:eastAsia="zh-CN"/>
              </w:rPr>
              <w:t>改造规上企业数量（家）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eastAsia="zh-CN"/>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rPr>
            </w:pPr>
            <w:r>
              <w:rPr>
                <w:rFonts w:hint="eastAsia" w:ascii="宋体" w:hAnsi="宋体" w:eastAsia="宋体" w:cs="宋体"/>
                <w:color w:val="000000"/>
                <w:spacing w:val="0"/>
                <w:kern w:val="0"/>
                <w:sz w:val="24"/>
                <w:szCs w:val="24"/>
                <w:highlight w:val="none"/>
                <w:lang w:val="en-US" w:eastAsia="zh-CN"/>
              </w:rPr>
              <w:t>改造规下企业数量（家）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rPr>
            </w:pPr>
            <w:r>
              <w:rPr>
                <w:rFonts w:hint="eastAsia" w:ascii="宋体" w:hAnsi="宋体" w:eastAsia="宋体" w:cs="宋体"/>
                <w:color w:val="000000"/>
                <w:spacing w:val="0"/>
                <w:kern w:val="0"/>
                <w:sz w:val="24"/>
                <w:szCs w:val="24"/>
                <w:highlight w:val="none"/>
                <w:lang w:eastAsia="zh-CN"/>
              </w:rPr>
              <w:t>两化融合</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rPr>
            </w:pPr>
            <w:r>
              <w:rPr>
                <w:rFonts w:hint="eastAsia" w:ascii="宋体" w:hAnsi="宋体" w:eastAsia="宋体" w:cs="宋体"/>
                <w:color w:val="000000"/>
                <w:spacing w:val="0"/>
                <w:kern w:val="0"/>
                <w:sz w:val="24"/>
                <w:szCs w:val="24"/>
                <w:highlight w:val="none"/>
                <w:lang w:val="en-US" w:eastAsia="zh-CN"/>
              </w:rPr>
              <w:t>两化融合贯标企业数量（家）</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r>
              <w:rPr>
                <w:rFonts w:hint="eastAsia" w:ascii="宋体" w:hAnsi="宋体" w:eastAsia="宋体" w:cs="宋体"/>
                <w:color w:val="000000"/>
                <w:spacing w:val="0"/>
                <w:kern w:val="0"/>
                <w:sz w:val="24"/>
                <w:szCs w:val="24"/>
                <w:highlight w:val="none"/>
                <w:lang w:eastAsia="zh-CN"/>
              </w:rPr>
              <w:t>应用场景</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bidi="ar-SA"/>
              </w:rPr>
            </w:pPr>
            <w:r>
              <w:rPr>
                <w:rFonts w:hint="eastAsia" w:ascii="宋体" w:hAnsi="宋体" w:eastAsia="宋体" w:cs="宋体"/>
                <w:color w:val="000000"/>
                <w:spacing w:val="0"/>
                <w:kern w:val="0"/>
                <w:sz w:val="24"/>
                <w:szCs w:val="24"/>
                <w:highlight w:val="none"/>
              </w:rPr>
              <w:t>应用场景</w:t>
            </w:r>
            <w:r>
              <w:rPr>
                <w:rFonts w:hint="eastAsia" w:ascii="宋体" w:hAnsi="宋体" w:eastAsia="宋体" w:cs="宋体"/>
                <w:color w:val="000000"/>
                <w:spacing w:val="0"/>
                <w:kern w:val="0"/>
                <w:sz w:val="24"/>
                <w:szCs w:val="24"/>
                <w:highlight w:val="none"/>
                <w:lang w:eastAsia="zh-CN"/>
              </w:rPr>
              <w:t>类型（个）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bidi="ar-SA"/>
              </w:rPr>
            </w:pPr>
            <w:r>
              <w:rPr>
                <w:rFonts w:hint="eastAsia" w:ascii="宋体" w:hAnsi="宋体" w:eastAsia="宋体" w:cs="宋体"/>
                <w:color w:val="000000"/>
                <w:spacing w:val="0"/>
                <w:kern w:val="0"/>
                <w:sz w:val="24"/>
                <w:szCs w:val="24"/>
                <w:highlight w:val="none"/>
              </w:rPr>
              <w:t>应用场景</w:t>
            </w:r>
            <w:r>
              <w:rPr>
                <w:rFonts w:hint="eastAsia" w:ascii="宋体" w:hAnsi="宋体" w:eastAsia="宋体" w:cs="宋体"/>
                <w:color w:val="000000"/>
                <w:spacing w:val="0"/>
                <w:kern w:val="0"/>
                <w:sz w:val="24"/>
                <w:szCs w:val="24"/>
                <w:highlight w:val="none"/>
                <w:lang w:eastAsia="zh-CN"/>
              </w:rPr>
              <w:t>数量（个）</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restart"/>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rPr>
              <w:t>服务质量</w:t>
            </w:r>
          </w:p>
        </w:tc>
        <w:tc>
          <w:tcPr>
            <w:tcW w:w="1697"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4"/>
                <w:highlight w:val="none"/>
              </w:rPr>
              <w:t>企业满意度</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eastAsia="zh-CN"/>
              </w:rPr>
            </w:pPr>
            <w:r>
              <w:rPr>
                <w:rFonts w:hint="eastAsia" w:ascii="宋体" w:hAnsi="宋体" w:eastAsia="宋体" w:cs="宋体"/>
                <w:color w:val="000000"/>
                <w:spacing w:val="0"/>
                <w:kern w:val="0"/>
                <w:sz w:val="24"/>
                <w:szCs w:val="24"/>
                <w:highlight w:val="none"/>
              </w:rPr>
              <w:t>试点企业总体满意度</w:t>
            </w:r>
            <w:r>
              <w:rPr>
                <w:rFonts w:hint="eastAsia" w:ascii="宋体" w:hAnsi="宋体" w:eastAsia="宋体" w:cs="宋体"/>
                <w:color w:val="000000"/>
                <w:spacing w:val="0"/>
                <w:kern w:val="0"/>
                <w:sz w:val="24"/>
                <w:szCs w:val="24"/>
                <w:highlight w:val="none"/>
                <w:lang w:eastAsia="zh-CN"/>
              </w:rPr>
              <w:t>（</w:t>
            </w:r>
            <w:r>
              <w:rPr>
                <w:rFonts w:hint="eastAsia" w:ascii="宋体" w:hAnsi="宋体" w:eastAsia="宋体" w:cs="宋体"/>
                <w:color w:val="000000"/>
                <w:spacing w:val="0"/>
                <w:kern w:val="0"/>
                <w:sz w:val="24"/>
                <w:szCs w:val="24"/>
                <w:highlight w:val="none"/>
                <w:lang w:val="en-US" w:eastAsia="zh-CN"/>
              </w:rPr>
              <w:t>%</w:t>
            </w:r>
            <w:r>
              <w:rPr>
                <w:rFonts w:hint="eastAsia" w:ascii="宋体" w:hAnsi="宋体" w:eastAsia="宋体" w:cs="宋体"/>
                <w:color w:val="000000"/>
                <w:spacing w:val="0"/>
                <w:kern w:val="0"/>
                <w:sz w:val="24"/>
                <w:szCs w:val="24"/>
                <w:highlight w:val="none"/>
                <w:lang w:eastAsia="zh-CN"/>
              </w:rPr>
              <w:t>）</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398" w:type="dxa"/>
            <w:vMerge w:val="continue"/>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rPr>
            </w:pPr>
          </w:p>
        </w:tc>
        <w:tc>
          <w:tcPr>
            <w:tcW w:w="1697"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r>
              <w:rPr>
                <w:rFonts w:hint="eastAsia" w:ascii="宋体" w:hAnsi="宋体" w:eastAsia="宋体" w:cs="宋体"/>
                <w:color w:val="000000"/>
                <w:spacing w:val="0"/>
                <w:kern w:val="0"/>
                <w:sz w:val="24"/>
                <w:szCs w:val="24"/>
                <w:highlight w:val="none"/>
              </w:rPr>
              <w:t>培训覆盖率</w:t>
            </w:r>
          </w:p>
        </w:tc>
        <w:tc>
          <w:tcPr>
            <w:tcW w:w="4464"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textAlignment w:val="auto"/>
              <w:rPr>
                <w:rFonts w:hint="eastAsia" w:ascii="宋体" w:hAnsi="宋体" w:eastAsia="宋体" w:cs="宋体"/>
                <w:color w:val="000000"/>
                <w:spacing w:val="0"/>
                <w:kern w:val="0"/>
                <w:sz w:val="24"/>
                <w:szCs w:val="24"/>
                <w:highlight w:val="none"/>
                <w:lang w:val="en-US" w:eastAsia="zh-CN" w:bidi="ar-SA"/>
              </w:rPr>
            </w:pPr>
            <w:r>
              <w:rPr>
                <w:rFonts w:hint="eastAsia" w:ascii="宋体" w:hAnsi="宋体" w:eastAsia="宋体" w:cs="宋体"/>
                <w:color w:val="000000"/>
                <w:spacing w:val="0"/>
                <w:kern w:val="0"/>
                <w:sz w:val="24"/>
                <w:szCs w:val="24"/>
                <w:highlight w:val="none"/>
              </w:rPr>
              <w:t>培训的覆盖率</w:t>
            </w:r>
            <w:r>
              <w:rPr>
                <w:rFonts w:hint="eastAsia" w:ascii="宋体" w:hAnsi="宋体" w:eastAsia="宋体" w:cs="宋体"/>
                <w:color w:val="000000"/>
                <w:spacing w:val="0"/>
                <w:kern w:val="0"/>
                <w:sz w:val="24"/>
                <w:szCs w:val="24"/>
                <w:highlight w:val="none"/>
                <w:lang w:eastAsia="zh-CN"/>
              </w:rPr>
              <w:t>（</w:t>
            </w:r>
            <w:r>
              <w:rPr>
                <w:rFonts w:hint="eastAsia" w:ascii="宋体" w:hAnsi="宋体" w:eastAsia="宋体" w:cs="宋体"/>
                <w:color w:val="000000"/>
                <w:spacing w:val="0"/>
                <w:kern w:val="0"/>
                <w:sz w:val="24"/>
                <w:szCs w:val="24"/>
                <w:highlight w:val="none"/>
                <w:lang w:val="en-US" w:eastAsia="zh-CN"/>
              </w:rPr>
              <w:t>%</w:t>
            </w:r>
            <w:r>
              <w:rPr>
                <w:rFonts w:hint="eastAsia" w:ascii="宋体" w:hAnsi="宋体" w:eastAsia="宋体" w:cs="宋体"/>
                <w:color w:val="000000"/>
                <w:spacing w:val="0"/>
                <w:kern w:val="0"/>
                <w:sz w:val="24"/>
                <w:szCs w:val="24"/>
                <w:highlight w:val="none"/>
                <w:lang w:eastAsia="zh-CN"/>
              </w:rPr>
              <w:t>）</w:t>
            </w:r>
          </w:p>
        </w:tc>
        <w:tc>
          <w:tcPr>
            <w:tcW w:w="950"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c>
          <w:tcPr>
            <w:tcW w:w="942" w:type="dxa"/>
            <w:vAlign w:val="center"/>
          </w:tcPr>
          <w:p>
            <w:pPr>
              <w:keepNext w:val="0"/>
              <w:keepLines w:val="0"/>
              <w:pageBreakBefore w:val="0"/>
              <w:widowControl w:val="0"/>
              <w:kinsoku/>
              <w:wordWrap/>
              <w:overflowPunct w:val="0"/>
              <w:topLinePunct w:val="0"/>
              <w:autoSpaceDE/>
              <w:autoSpaceDN/>
              <w:bidi w:val="0"/>
              <w:adjustRightInd w:val="0"/>
              <w:snapToGrid w:val="0"/>
              <w:spacing w:after="0" w:line="240" w:lineRule="auto"/>
              <w:jc w:val="center"/>
              <w:textAlignment w:val="auto"/>
              <w:rPr>
                <w:rFonts w:hint="eastAsia" w:ascii="宋体" w:hAnsi="宋体" w:eastAsia="宋体" w:cs="宋体"/>
                <w:color w:val="000000"/>
                <w:spacing w:val="0"/>
                <w:kern w:val="0"/>
                <w:sz w:val="24"/>
                <w:szCs w:val="24"/>
                <w:highlight w:val="none"/>
                <w:lang w:val="en-US" w:eastAsia="zh-CN" w:bidi="ar-SA"/>
              </w:rPr>
            </w:pPr>
          </w:p>
        </w:tc>
      </w:tr>
    </w:tbl>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0" w:firstLineChars="0"/>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国家中小企业数字化转型城市</w:t>
      </w: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试点申报指南</w:t>
      </w: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0" w:firstLineChars="0"/>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643" w:firstLineChars="200"/>
        <w:jc w:val="both"/>
        <w:textAlignment w:val="auto"/>
        <w:rPr>
          <w:rFonts w:hint="eastAsia" w:ascii="仿宋" w:hAnsi="仿宋" w:eastAsia="仿宋" w:cs="仿宋"/>
          <w:b/>
          <w:bCs/>
          <w:sz w:val="32"/>
          <w:szCs w:val="32"/>
          <w:lang w:val="en-US" w:eastAsia="zh-CN"/>
        </w:rPr>
      </w:pP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获得国家级中小企业数字化转型城市试点，给予专项资金支持。申报内容包括国家批复文件和批复方案。</w:t>
      </w: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pBdr>
          <w:bottom w:val="single" w:color="FFFFFF" w:sz="4" w:space="30"/>
        </w:pBdr>
        <w:tabs>
          <w:tab w:val="left" w:pos="2700"/>
          <w:tab w:val="left" w:pos="2996"/>
          <w:tab w:val="left" w:pos="8640"/>
        </w:tabs>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联系人中小企业局</w:t>
      </w:r>
      <w:r>
        <w:rPr>
          <w:rFonts w:hint="eastAsia" w:ascii="仿宋_GB2312" w:hAnsi="仿宋_GB2312" w:eastAsia="仿宋_GB2312" w:cs="仿宋_GB2312"/>
          <w:sz w:val="32"/>
          <w:szCs w:val="32"/>
          <w:shd w:val="clear" w:color="auto" w:fill="auto"/>
          <w:lang w:eastAsia="zh-CN"/>
        </w:rPr>
        <w:t>王晶（</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shd w:val="clear" w:color="auto" w:fill="auto"/>
          <w:lang w:val="en-US" w:eastAsia="zh-CN"/>
        </w:rPr>
        <w:t>0471-4824952）</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FFFFFF"/>
        <w:tabs>
          <w:tab w:val="left" w:pos="943"/>
        </w:tabs>
        <w:kinsoku/>
        <w:wordWrap/>
        <w:overflowPunct/>
        <w:topLinePunct w:val="0"/>
        <w:autoSpaceDE/>
        <w:autoSpaceDN/>
        <w:bidi w:val="0"/>
        <w:adjustRightInd/>
        <w:snapToGrid/>
        <w:spacing w:before="0" w:beforeAutospacing="0" w:after="0" w:afterAutospacing="0" w:line="20" w:lineRule="exact"/>
        <w:jc w:val="left"/>
        <w:textAlignment w:val="auto"/>
        <w:rPr>
          <w:rFonts w:hint="eastAsia"/>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 w:lineRule="exact"/>
        <w:jc w:val="both"/>
        <w:textAlignment w:val="auto"/>
        <w:rPr>
          <w:rFonts w:hint="eastAsia"/>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 w:lineRule="exact"/>
        <w:jc w:val="both"/>
        <w:textAlignment w:val="auto"/>
        <w:rPr>
          <w:rFonts w:hint="eastAsia"/>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 w:lineRule="exact"/>
        <w:jc w:val="both"/>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zIxZDgzNDI1MGY5MzBjNzVjMjlhYjY2MzUzNmQifQ=="/>
  </w:docVars>
  <w:rsids>
    <w:rsidRoot w:val="00000000"/>
    <w:rsid w:val="0F76587E"/>
    <w:rsid w:val="29C709A2"/>
    <w:rsid w:val="5A7F042B"/>
    <w:rsid w:val="7B21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spacing w:beforeAutospacing="1" w:after="0" w:afterAutospacing="1"/>
      <w:jc w:val="left"/>
      <w:outlineLvl w:val="1"/>
    </w:pPr>
    <w:rPr>
      <w:rFonts w:hint="eastAsia" w:ascii="宋体" w:hAnsi="宋体"/>
      <w:b/>
      <w:bCs/>
      <w:kern w:val="0"/>
      <w:sz w:val="36"/>
      <w:szCs w:val="36"/>
    </w:rPr>
  </w:style>
  <w:style w:type="character" w:default="1" w:styleId="12">
    <w:name w:val="Default Paragraph Font"/>
    <w:qFormat/>
    <w:uiPriority w:val="1"/>
  </w:style>
  <w:style w:type="table" w:default="1" w:styleId="15">
    <w:name w:val="Normal Table"/>
    <w:qFormat/>
    <w:uiPriority w:val="99"/>
    <w:tblPr>
      <w:tblLayout w:type="fixed"/>
      <w:tblCellMar>
        <w:top w:w="0" w:type="dxa"/>
        <w:left w:w="108" w:type="dxa"/>
        <w:bottom w:w="0" w:type="dxa"/>
        <w:right w:w="108" w:type="dxa"/>
      </w:tblCellMar>
    </w:tblPr>
  </w:style>
  <w:style w:type="paragraph" w:styleId="2">
    <w:name w:val="Document Map"/>
    <w:basedOn w:val="1"/>
    <w:next w:val="1"/>
    <w:qFormat/>
    <w:uiPriority w:val="0"/>
    <w:rPr>
      <w:rFonts w:ascii="Microsoft YaHei UI" w:eastAsia="Microsoft YaHei UI"/>
      <w:sz w:val="18"/>
      <w:szCs w:val="18"/>
    </w:rPr>
  </w:style>
  <w:style w:type="paragraph" w:styleId="4">
    <w:name w:val="table of authorities"/>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rFonts w:ascii="Times New Roman" w:hAnsi="Times New Roman" w:eastAsia="仿宋_GB2312" w:cs="Times New Roman"/>
    </w:rPr>
  </w:style>
  <w:style w:type="paragraph" w:styleId="6">
    <w:name w:val="Body Text"/>
    <w:basedOn w:val="1"/>
    <w:next w:val="1"/>
    <w:qFormat/>
    <w:uiPriority w:val="99"/>
    <w:pPr>
      <w:spacing w:after="120" w:line="360" w:lineRule="auto"/>
      <w:ind w:firstLine="200" w:firstLineChars="200"/>
    </w:pPr>
    <w:rPr>
      <w:rFonts w:ascii="Arial" w:hAnsi="Arial"/>
    </w:rPr>
  </w:style>
  <w:style w:type="paragraph" w:styleId="7">
    <w:name w:val="Body Text Indent"/>
    <w:basedOn w:val="1"/>
    <w:next w:val="5"/>
    <w:qFormat/>
    <w:uiPriority w:val="0"/>
    <w:pPr>
      <w:spacing w:after="120"/>
      <w:ind w:left="420" w:leftChars="200"/>
    </w:p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Body Text First Indent 2"/>
    <w:basedOn w:val="7"/>
    <w:qFormat/>
    <w:uiPriority w:val="0"/>
    <w:pPr>
      <w:ind w:left="200" w:firstLine="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page number"/>
    <w:qFormat/>
    <w:uiPriority w:val="0"/>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啊"/>
    <w:qFormat/>
    <w:uiPriority w:val="99"/>
    <w:pPr>
      <w:widowControl w:val="0"/>
      <w:spacing w:before="312" w:beforeLines="100" w:line="276" w:lineRule="auto"/>
      <w:ind w:left="210" w:right="210" w:firstLine="600"/>
      <w:contextualSpacing/>
      <w:jc w:val="both"/>
    </w:pPr>
    <w:rPr>
      <w:rFonts w:ascii="微软雅黑" w:hAnsi="微软雅黑" w:eastAsia="微软雅黑" w:cs="Times New Roman"/>
      <w:color w:val="000000"/>
      <w:kern w:val="2"/>
      <w:sz w:val="24"/>
      <w:szCs w:val="24"/>
      <w:lang w:val="en-US" w:eastAsia="zh-CN" w:bidi="ar-SA"/>
    </w:rPr>
  </w:style>
  <w:style w:type="paragraph" w:customStyle="1" w:styleId="18">
    <w:name w:val="列表段落1"/>
    <w:basedOn w:val="1"/>
    <w:qFormat/>
    <w:uiPriority w:val="34"/>
    <w:pPr>
      <w:ind w:firstLine="420" w:firstLineChars="200"/>
    </w:pPr>
  </w:style>
  <w:style w:type="character" w:customStyle="1" w:styleId="19">
    <w:name w:val="页脚 字符"/>
    <w:basedOn w:val="12"/>
    <w:link w:val="8"/>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3574</Words>
  <Characters>3622</Characters>
  <Paragraphs>111</Paragraphs>
  <TotalTime>0</TotalTime>
  <ScaleCrop>false</ScaleCrop>
  <LinksUpToDate>false</LinksUpToDate>
  <CharactersWithSpaces>3719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2023-05-09T21:58:00Z</dcterms:created>
  <dc:creator>王丹</dc:creator>
  <cp:lastModifiedBy>有贼心有贼胆</cp:lastModifiedBy>
  <cp:lastPrinted>2023-07-27T23:21:00Z</cp:lastPrinted>
  <dcterms:modified xsi:type="dcterms:W3CDTF">2023-08-15T01:31:04Z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90FA04EB3E774CAABED45B475AEE82AF_13</vt:lpwstr>
  </property>
</Properties>
</file>